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CB" w:rsidRDefault="00A425CB" w:rsidP="00A425CB">
      <w:pPr>
        <w:rPr>
          <w:rFonts w:ascii="宋体" w:hAnsi="宋体" w:hint="eastAsia"/>
          <w:sz w:val="44"/>
        </w:rPr>
      </w:pPr>
      <w:r>
        <w:fldChar w:fldCharType="begin"/>
      </w:r>
      <w:r>
        <w:instrText xml:space="preserve"> INCLUDETEXT "e:\\lotus\\notes\\data\\</w:instrText>
      </w:r>
      <w:r>
        <w:instrText>院发文件格式</w:instrText>
      </w:r>
      <w:r>
        <w:instrText xml:space="preserve">.doc"  \* MERGEFORMAT </w:instrText>
      </w:r>
      <w:r>
        <w:fldChar w:fldCharType="separate"/>
      </w:r>
    </w:p>
    <w:p w:rsidR="00A425CB" w:rsidRDefault="00A425CB" w:rsidP="00A425CB">
      <w:pPr>
        <w:rPr>
          <w:rFonts w:ascii="宋体" w:hAnsi="宋体" w:hint="eastAsia"/>
          <w:sz w:val="44"/>
        </w:rPr>
      </w:pPr>
    </w:p>
    <w:p w:rsidR="00A425CB" w:rsidRDefault="00A425CB" w:rsidP="00A425CB">
      <w:pPr>
        <w:rPr>
          <w:rFonts w:ascii="宋体" w:hAnsi="宋体" w:hint="eastAsia"/>
          <w:sz w:val="44"/>
        </w:rPr>
      </w:pPr>
    </w:p>
    <w:p w:rsidR="00A425CB" w:rsidRDefault="00A425CB" w:rsidP="00A425CB">
      <w:pPr>
        <w:rPr>
          <w:rFonts w:ascii="仿宋_GB2312" w:eastAsia="仿宋_GB2312" w:hint="eastAsia"/>
          <w:color w:val="000000"/>
          <w:sz w:val="32"/>
          <w:szCs w:val="32"/>
        </w:rPr>
      </w:pPr>
    </w:p>
    <w:p w:rsidR="00A425CB" w:rsidRDefault="00A425CB" w:rsidP="00A425CB">
      <w:pPr>
        <w:rPr>
          <w:rFonts w:ascii="仿宋_GB2312" w:eastAsia="仿宋_GB2312" w:hint="eastAsia"/>
          <w:color w:val="000000"/>
          <w:sz w:val="32"/>
          <w:szCs w:val="32"/>
        </w:rPr>
      </w:pPr>
    </w:p>
    <w:p w:rsidR="00A425CB" w:rsidRDefault="00A425CB" w:rsidP="00A425CB">
      <w:pPr>
        <w:jc w:val="center"/>
        <w:rPr>
          <w:rFonts w:ascii="仿宋_GB2312" w:eastAsia="仿宋_GB2312" w:hint="eastAsia"/>
          <w:color w:val="000000"/>
          <w:sz w:val="32"/>
          <w:szCs w:val="32"/>
        </w:rPr>
      </w:pPr>
      <w:bookmarkStart w:id="0" w:name="wh"/>
      <w:r>
        <w:rPr>
          <w:rFonts w:ascii="仿宋_GB2312" w:eastAsia="仿宋_GB2312" w:hint="eastAsia"/>
          <w:color w:val="000000"/>
          <w:sz w:val="32"/>
          <w:szCs w:val="32"/>
        </w:rPr>
        <w:t>湘</w:t>
      </w:r>
      <w:proofErr w:type="gramStart"/>
      <w:r>
        <w:rPr>
          <w:rFonts w:ascii="仿宋_GB2312" w:eastAsia="仿宋_GB2312" w:hint="eastAsia"/>
          <w:color w:val="000000"/>
          <w:sz w:val="32"/>
          <w:szCs w:val="32"/>
        </w:rPr>
        <w:t>财院校发〔2018〕</w:t>
      </w:r>
      <w:proofErr w:type="gramEnd"/>
      <w:r>
        <w:rPr>
          <w:rFonts w:ascii="仿宋_GB2312" w:eastAsia="仿宋_GB2312" w:hint="eastAsia"/>
          <w:color w:val="000000"/>
          <w:sz w:val="32"/>
          <w:szCs w:val="32"/>
        </w:rPr>
        <w:t>139号</w:t>
      </w:r>
      <w:bookmarkEnd w:id="0"/>
    </w:p>
    <w:p w:rsidR="00A425CB" w:rsidRDefault="00A425CB" w:rsidP="00A425CB">
      <w:pPr>
        <w:rPr>
          <w:rFonts w:ascii="宋体" w:hAnsi="宋体" w:hint="eastAsia"/>
          <w:sz w:val="44"/>
        </w:rPr>
      </w:pPr>
    </w:p>
    <w:p w:rsidR="00A425CB" w:rsidRDefault="00A425CB" w:rsidP="00A425CB">
      <w:pPr>
        <w:rPr>
          <w:rFonts w:ascii="宋体" w:hAnsi="宋体" w:hint="eastAsia"/>
          <w:szCs w:val="21"/>
        </w:rPr>
      </w:pPr>
    </w:p>
    <w:p w:rsidR="00A425CB" w:rsidRDefault="00A425CB" w:rsidP="00A425CB">
      <w:pPr>
        <w:jc w:val="center"/>
        <w:rPr>
          <w:b/>
          <w:sz w:val="44"/>
          <w:szCs w:val="44"/>
        </w:rPr>
      </w:pPr>
      <w:r>
        <w:fldChar w:fldCharType="end"/>
      </w:r>
      <w:r>
        <w:rPr>
          <w:rFonts w:hint="eastAsia"/>
          <w:sz w:val="44"/>
          <w:szCs w:val="44"/>
        </w:rPr>
        <w:t>湖南财政经济学院校院二级科研管理办法（试行）</w:t>
      </w:r>
    </w:p>
    <w:p w:rsidR="00A425CB" w:rsidRDefault="00A425CB" w:rsidP="00A425CB">
      <w:pPr>
        <w:pStyle w:val="a3"/>
        <w:spacing w:before="0" w:beforeAutospacing="0" w:after="0" w:afterAutospacing="0" w:line="490" w:lineRule="exact"/>
        <w:ind w:firstLineChars="200" w:firstLine="420"/>
        <w:jc w:val="both"/>
        <w:rPr>
          <w:rFonts w:ascii="仿宋_GB2312" w:eastAsia="仿宋_GB2312" w:cs="Times New Roman" w:hint="eastAsia"/>
          <w:bCs/>
          <w:sz w:val="21"/>
          <w:szCs w:val="21"/>
        </w:rPr>
      </w:pPr>
    </w:p>
    <w:p w:rsidR="00A425CB" w:rsidRDefault="00A425CB" w:rsidP="00A425CB">
      <w:pPr>
        <w:pStyle w:val="a3"/>
        <w:spacing w:before="0" w:beforeAutospacing="0" w:after="0" w:afterAutospacing="0" w:line="490" w:lineRule="exact"/>
        <w:ind w:firstLineChars="200" w:firstLine="640"/>
        <w:jc w:val="both"/>
        <w:rPr>
          <w:rFonts w:ascii="仿宋_GB2312" w:eastAsia="仿宋_GB2312" w:cs="Times New Roman" w:hint="eastAsia"/>
          <w:bCs/>
          <w:sz w:val="32"/>
          <w:szCs w:val="32"/>
        </w:rPr>
      </w:pPr>
      <w:r>
        <w:rPr>
          <w:rFonts w:ascii="仿宋_GB2312" w:eastAsia="仿宋_GB2312" w:cs="Times New Roman" w:hint="eastAsia"/>
          <w:bCs/>
          <w:sz w:val="32"/>
          <w:szCs w:val="32"/>
        </w:rPr>
        <w:t>第一条 为了进一步深化和完善校内管理体制改革，理顺学校与二级学院的科研权责利关系，充分发挥各二级学院科研管理的积极性、主动性和创造性，促进学校科研工作上水平，为学校发展做出应有贡献，</w:t>
      </w:r>
      <w:proofErr w:type="gramStart"/>
      <w:r>
        <w:rPr>
          <w:rFonts w:ascii="仿宋_GB2312" w:eastAsia="仿宋_GB2312" w:cs="Times New Roman" w:hint="eastAsia"/>
          <w:bCs/>
          <w:sz w:val="32"/>
          <w:szCs w:val="32"/>
        </w:rPr>
        <w:t>特</w:t>
      </w:r>
      <w:proofErr w:type="gramEnd"/>
      <w:r>
        <w:rPr>
          <w:rFonts w:ascii="仿宋_GB2312" w:eastAsia="仿宋_GB2312" w:cs="Times New Roman" w:hint="eastAsia"/>
          <w:bCs/>
          <w:sz w:val="32"/>
          <w:szCs w:val="32"/>
        </w:rPr>
        <w:t>根据《中华人民共和国高等教育法》等法律法规并结合学校实际，制定本办法。</w:t>
      </w:r>
    </w:p>
    <w:p w:rsidR="00A425CB" w:rsidRDefault="00A425CB" w:rsidP="00A425CB">
      <w:pPr>
        <w:pStyle w:val="a3"/>
        <w:spacing w:before="0" w:beforeAutospacing="0" w:after="0" w:afterAutospacing="0" w:line="490" w:lineRule="exact"/>
        <w:ind w:firstLineChars="200" w:firstLine="640"/>
        <w:jc w:val="both"/>
        <w:rPr>
          <w:rFonts w:ascii="仿宋_GB2312" w:eastAsia="仿宋_GB2312" w:cs="Times New Roman" w:hint="eastAsia"/>
          <w:bCs/>
          <w:sz w:val="32"/>
          <w:szCs w:val="32"/>
        </w:rPr>
      </w:pPr>
      <w:r>
        <w:rPr>
          <w:rFonts w:ascii="仿宋_GB2312" w:eastAsia="仿宋_GB2312" w:cs="Times New Roman" w:hint="eastAsia"/>
          <w:bCs/>
          <w:sz w:val="32"/>
          <w:szCs w:val="32"/>
        </w:rPr>
        <w:t>第二条 科研处在学校党委和行政的领导下，负责需要学校统筹的相关科学研究和学科建设事务。主要职责包括：（1）制定学校科研工作与学科建设的总体规划、管理制度、评价体系；（2）负责组织协调学校校级及以上重点学科、重点科研平台、重点研究基地的申报立项、建设、检查、验收等工作；（3）负责统一组织报送、审核所有纵向研究项目的申请立项、中期检查</w:t>
      </w:r>
      <w:proofErr w:type="gramStart"/>
      <w:r>
        <w:rPr>
          <w:rFonts w:ascii="仿宋_GB2312" w:eastAsia="仿宋_GB2312" w:cs="Times New Roman" w:hint="eastAsia"/>
          <w:bCs/>
          <w:sz w:val="32"/>
          <w:szCs w:val="32"/>
        </w:rPr>
        <w:t>和结项验收</w:t>
      </w:r>
      <w:proofErr w:type="gramEnd"/>
      <w:r>
        <w:rPr>
          <w:rFonts w:ascii="仿宋_GB2312" w:eastAsia="仿宋_GB2312" w:cs="Times New Roman" w:hint="eastAsia"/>
          <w:bCs/>
          <w:sz w:val="32"/>
          <w:szCs w:val="32"/>
        </w:rPr>
        <w:t>等材料；负责统一组织报送、审核所有纵向研究成果奖励的申请材料；（4）负责全校科研工作量的申报管理、成果产权、等级、计分标准的最终复核；（5）负责汇总统计全校科研信息，包括学科、</w:t>
      </w:r>
      <w:r>
        <w:rPr>
          <w:rFonts w:ascii="仿宋_GB2312" w:eastAsia="仿宋_GB2312" w:cs="Times New Roman" w:hint="eastAsia"/>
          <w:bCs/>
          <w:sz w:val="32"/>
          <w:szCs w:val="32"/>
        </w:rPr>
        <w:lastRenderedPageBreak/>
        <w:t xml:space="preserve">平台（基地）、项目、成果、获奖、应用等内容；（6）负责组织校学术委员会会议和全校学术会议，协调学院学术活动；（7）负责组织推进学校重大科研成果的转化与推广应用；（8）负责全校性的学术规范与学术道德的宣传教育活动；（9）根据学校绩效考核方案确定的科研工作任务，进行学院科研工作任务写成情况的考核评价与相应的激励约束；（10）负责学校科研工作与学科建设相关工作的年度总结汇报、宣传。  </w:t>
      </w:r>
    </w:p>
    <w:p w:rsidR="00A425CB" w:rsidRDefault="00A425CB" w:rsidP="00A425CB">
      <w:pPr>
        <w:pStyle w:val="a3"/>
        <w:spacing w:before="0" w:beforeAutospacing="0" w:after="0" w:afterAutospacing="0" w:line="490" w:lineRule="exact"/>
        <w:ind w:firstLineChars="200" w:firstLine="640"/>
        <w:jc w:val="both"/>
        <w:rPr>
          <w:rFonts w:ascii="仿宋_GB2312" w:eastAsia="仿宋_GB2312" w:cs="Times New Roman" w:hint="eastAsia"/>
          <w:bCs/>
          <w:sz w:val="32"/>
          <w:szCs w:val="32"/>
        </w:rPr>
      </w:pPr>
      <w:r>
        <w:rPr>
          <w:rFonts w:ascii="仿宋_GB2312" w:eastAsia="仿宋_GB2312" w:cs="Times New Roman" w:hint="eastAsia"/>
          <w:bCs/>
          <w:sz w:val="32"/>
          <w:szCs w:val="32"/>
        </w:rPr>
        <w:t>第三条  二级学院依照学校的相关制度全面负责本学院的科学研究和学科建设相关事务。主要职责包括：（1）根据学校总体安排和本学院实际，组织实施学院科研工作与学科建设工作；（2）负责按照学校要求组织实施本</w:t>
      </w:r>
      <w:proofErr w:type="gramStart"/>
      <w:r>
        <w:rPr>
          <w:rFonts w:ascii="仿宋_GB2312" w:eastAsia="仿宋_GB2312" w:cs="Times New Roman" w:hint="eastAsia"/>
          <w:bCs/>
          <w:sz w:val="32"/>
          <w:szCs w:val="32"/>
        </w:rPr>
        <w:t>院校级</w:t>
      </w:r>
      <w:proofErr w:type="gramEnd"/>
      <w:r>
        <w:rPr>
          <w:rFonts w:ascii="仿宋_GB2312" w:eastAsia="仿宋_GB2312" w:cs="Times New Roman" w:hint="eastAsia"/>
          <w:bCs/>
          <w:sz w:val="32"/>
          <w:szCs w:val="32"/>
        </w:rPr>
        <w:t>及以上重点学科、科研平台、研究基地的申报立项、建设、检查验收等工作；负责本院其他学科建设与科研团队建设工作；（3）负责所有纵向项目的开题、中期检查</w:t>
      </w:r>
      <w:proofErr w:type="gramStart"/>
      <w:r>
        <w:rPr>
          <w:rFonts w:ascii="仿宋_GB2312" w:eastAsia="仿宋_GB2312" w:cs="Times New Roman" w:hint="eastAsia"/>
          <w:bCs/>
          <w:sz w:val="32"/>
          <w:szCs w:val="32"/>
        </w:rPr>
        <w:t>和结项审查</w:t>
      </w:r>
      <w:proofErr w:type="gramEnd"/>
      <w:r>
        <w:rPr>
          <w:rFonts w:ascii="仿宋_GB2312" w:eastAsia="仿宋_GB2312" w:cs="Times New Roman" w:hint="eastAsia"/>
          <w:bCs/>
          <w:sz w:val="32"/>
          <w:szCs w:val="32"/>
        </w:rPr>
        <w:t>等过程管理工作；负责管理本学院所属的横向项目申报、开题、检查、</w:t>
      </w:r>
      <w:proofErr w:type="gramStart"/>
      <w:r>
        <w:rPr>
          <w:rFonts w:ascii="仿宋_GB2312" w:eastAsia="仿宋_GB2312" w:cs="Times New Roman" w:hint="eastAsia"/>
          <w:bCs/>
          <w:sz w:val="32"/>
          <w:szCs w:val="32"/>
        </w:rPr>
        <w:t>结项等</w:t>
      </w:r>
      <w:proofErr w:type="gramEnd"/>
      <w:r>
        <w:rPr>
          <w:rFonts w:ascii="仿宋_GB2312" w:eastAsia="仿宋_GB2312" w:cs="Times New Roman" w:hint="eastAsia"/>
          <w:bCs/>
          <w:sz w:val="32"/>
          <w:szCs w:val="32"/>
        </w:rPr>
        <w:t>相关工作；负责协助组织报送所有纵向研究成果奖励的推荐工作；（4）负责归属本学院人员的科研工作量的申报管理、成果产权鉴定、等级认定、计分标准审核和分值统计；（5）负责汇总统计各学院科研信息，包括学科、平台（基地）、项目、成果、获奖、应用等基础信息的核实、统计和档案管理；（6）负责组织本学院学术委员会会议和学术交流活动；（7）协助本院重要的科研成果的转化与推广应用；（8）教育引导本院师生遵守学术规范与学术道德规范；（9）采取切实措施，争取完成或超额完成学校规定的学院年度总体科研工作任务和个人年度科研工作任务，努力提高科研工作任务完成率、参与率；（10）负责本学院科研工作与学科建设相关工作的年度总结汇报与</w:t>
      </w:r>
      <w:r>
        <w:rPr>
          <w:rFonts w:ascii="仿宋_GB2312" w:eastAsia="仿宋_GB2312" w:cs="Times New Roman" w:hint="eastAsia"/>
          <w:bCs/>
          <w:sz w:val="32"/>
          <w:szCs w:val="32"/>
        </w:rPr>
        <w:lastRenderedPageBreak/>
        <w:t>宣传；（11）负责适合学院履行的其他科研与学科建设相关工作（见表1）。</w:t>
      </w:r>
    </w:p>
    <w:p w:rsidR="00A425CB" w:rsidRDefault="00A425CB" w:rsidP="00A425CB">
      <w:pPr>
        <w:snapToGrid w:val="0"/>
        <w:spacing w:line="490" w:lineRule="exact"/>
        <w:ind w:firstLineChars="196" w:firstLine="627"/>
        <w:rPr>
          <w:rFonts w:ascii="仿宋_GB2312" w:eastAsia="仿宋_GB2312" w:hAnsi="宋体" w:hint="eastAsia"/>
          <w:bCs/>
          <w:kern w:val="0"/>
          <w:sz w:val="32"/>
          <w:szCs w:val="32"/>
        </w:rPr>
      </w:pPr>
      <w:r>
        <w:rPr>
          <w:rFonts w:ascii="仿宋_GB2312" w:eastAsia="仿宋_GB2312" w:hAnsi="宋体" w:hint="eastAsia"/>
          <w:bCs/>
          <w:kern w:val="0"/>
          <w:sz w:val="32"/>
          <w:szCs w:val="32"/>
        </w:rPr>
        <w:t>第四条  二级学院科研管理基础性工作要求</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一）二级学院是所有科研与学科建设数据统计上报的唯一基础性单位。所有党政工作部门、教学服务部门、教辅单位的研究人员原则上归属专业所在学院，由所属学院统一归类上报。为配合学校科研信息上报、岗位聘任、职称评定和绩效核算等工作需要，二级学院应按学校要求对所在部门教职工的科研工作进行量化计分、统计上报科研处。</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二）二级学院应当依据学校相关制度，结合学院实际确定高于学校标准的本院教师基础性科研工作任务，确保学院总体年度科研工作量的完成比率和个人年度科研工作量的完成比率均不低于学校平均值，否则相应扣减学院科研工作绩效。</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三）二级学院应当围绕本院学科专业建设和科研发展方向，以学科带头人、学术带头人以及科研能力较强的教授、博士为核心，在学校和学院两级倾斜政策支持下，积极主动地利用现有资源整合一批有活力的科研团队，为成功申报高级别科研课题、形成高水平科研成果奠定基础。二级院应对本单位承担的各级各类科研项目提供人、财、物等方面的支持，为项目研究的顺利进行创造条件。</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四）二级学院负责对本单位科研项目的过程管理，加强对本院项目研究的检查与督促工作，及时掌握项目研究进展情况，并帮助解决存在的问题，以确保项目顺利实施和按期结项。在每年12月底前，将各项目负责人以书面形式向所在学院提交的项目研究年度进展报告汇总后，以清单形式报送科研处。项目在</w:t>
      </w:r>
      <w:proofErr w:type="gramStart"/>
      <w:r>
        <w:rPr>
          <w:rFonts w:ascii="仿宋_GB2312" w:eastAsia="仿宋_GB2312" w:hAnsi="宋体" w:hint="eastAsia"/>
          <w:bCs/>
          <w:kern w:val="0"/>
          <w:sz w:val="32"/>
          <w:szCs w:val="32"/>
        </w:rPr>
        <w:t>研</w:t>
      </w:r>
      <w:proofErr w:type="gramEnd"/>
      <w:r>
        <w:rPr>
          <w:rFonts w:ascii="仿宋_GB2312" w:eastAsia="仿宋_GB2312" w:hAnsi="宋体" w:hint="eastAsia"/>
          <w:bCs/>
          <w:kern w:val="0"/>
          <w:sz w:val="32"/>
          <w:szCs w:val="32"/>
        </w:rPr>
        <w:t>期间，项目负责人调离我校、退休或其他原因，无法继续负责项目的研究任务，各二级学院应及</w:t>
      </w:r>
      <w:r>
        <w:rPr>
          <w:rFonts w:ascii="仿宋_GB2312" w:eastAsia="仿宋_GB2312" w:hAnsi="宋体" w:hint="eastAsia"/>
          <w:bCs/>
          <w:kern w:val="0"/>
          <w:sz w:val="32"/>
          <w:szCs w:val="32"/>
        </w:rPr>
        <w:lastRenderedPageBreak/>
        <w:t>时书面报告科研处，并办理变更项目负责人手续，以保证项目的顺利进行。</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（五）二级学院应高度重视科研工作的年度考核评价，不断优化学院科研管理制度与服务工作，并于每年12月底前将科研工作年度考核自评报告及相关支撑材料报送科研处。</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第五条  考核评价的内容及方法</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（一）考核评价的内容主要包括科研基础工作情况、科研工作绩效评价和科研工作任务完成情况等三个方面（见表2）。</w:t>
      </w:r>
    </w:p>
    <w:p w:rsidR="00A425CB" w:rsidRDefault="00A425CB" w:rsidP="00A425CB">
      <w:pPr>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（二）考核评价的方法主要根据计分确定绩效评价结果排序，分别评出优秀、良好、合格与不合格四个等级。</w:t>
      </w:r>
    </w:p>
    <w:p w:rsidR="00A425CB" w:rsidRDefault="00A425CB" w:rsidP="00A425CB">
      <w:pPr>
        <w:tabs>
          <w:tab w:val="left" w:pos="7230"/>
        </w:tabs>
        <w:snapToGrid w:val="0"/>
        <w:spacing w:line="490" w:lineRule="exact"/>
        <w:ind w:firstLineChars="200" w:firstLine="640"/>
        <w:rPr>
          <w:rFonts w:ascii="仿宋_GB2312" w:eastAsia="仿宋_GB2312" w:hAnsi="宋体" w:hint="eastAsia"/>
          <w:bCs/>
          <w:kern w:val="0"/>
          <w:sz w:val="32"/>
          <w:szCs w:val="32"/>
        </w:rPr>
      </w:pPr>
      <w:r>
        <w:rPr>
          <w:rFonts w:ascii="仿宋_GB2312" w:eastAsia="仿宋_GB2312" w:hAnsi="宋体" w:hint="eastAsia"/>
          <w:bCs/>
          <w:kern w:val="0"/>
          <w:sz w:val="32"/>
          <w:szCs w:val="32"/>
        </w:rPr>
        <w:t>（三）科研工作综合考核结果与科研绩效分配结果挂钩。学校可根据科研工作考核评价结果进行专项评奖，表彰在科研工作中表现优秀的先进学院、先进个人。</w:t>
      </w:r>
    </w:p>
    <w:p w:rsidR="00A425CB" w:rsidRDefault="00A425CB" w:rsidP="00A425CB">
      <w:pPr>
        <w:snapToGrid w:val="0"/>
        <w:spacing w:line="490" w:lineRule="exact"/>
        <w:ind w:firstLineChars="196" w:firstLine="627"/>
        <w:rPr>
          <w:rFonts w:ascii="仿宋_GB2312" w:eastAsia="仿宋_GB2312" w:hAnsi="宋体" w:hint="eastAsia"/>
          <w:bCs/>
          <w:kern w:val="0"/>
          <w:sz w:val="32"/>
          <w:szCs w:val="32"/>
        </w:rPr>
      </w:pPr>
      <w:r>
        <w:rPr>
          <w:rFonts w:ascii="仿宋_GB2312" w:eastAsia="仿宋_GB2312" w:hAnsi="宋体" w:hint="eastAsia"/>
          <w:bCs/>
          <w:kern w:val="0"/>
          <w:sz w:val="32"/>
          <w:szCs w:val="32"/>
        </w:rPr>
        <w:t>第六条  本规定自发布之日起实施，本办法由科研处负责解释。</w:t>
      </w:r>
    </w:p>
    <w:p w:rsidR="00A425CB" w:rsidRDefault="00A425CB" w:rsidP="00A425CB">
      <w:pPr>
        <w:snapToGrid w:val="0"/>
        <w:spacing w:line="490" w:lineRule="exact"/>
        <w:rPr>
          <w:rFonts w:ascii="仿宋_GB2312" w:eastAsia="仿宋_GB2312" w:hAnsi="宋体" w:hint="eastAsia"/>
          <w:bCs/>
          <w:kern w:val="0"/>
          <w:sz w:val="32"/>
          <w:szCs w:val="32"/>
        </w:rPr>
      </w:pPr>
      <w:r>
        <w:rPr>
          <w:rFonts w:ascii="仿宋_GB2312" w:eastAsia="仿宋_GB2312" w:hAnsi="宋体" w:hint="eastAsia"/>
          <w:bCs/>
          <w:kern w:val="0"/>
          <w:sz w:val="32"/>
          <w:szCs w:val="32"/>
        </w:rPr>
        <w:t xml:space="preserve">    附件1：湖南财政经济学</w:t>
      </w:r>
      <w:proofErr w:type="gramStart"/>
      <w:r>
        <w:rPr>
          <w:rFonts w:ascii="仿宋_GB2312" w:eastAsia="仿宋_GB2312" w:hAnsi="宋体" w:hint="eastAsia"/>
          <w:bCs/>
          <w:kern w:val="0"/>
          <w:sz w:val="32"/>
          <w:szCs w:val="32"/>
        </w:rPr>
        <w:t>院校院校</w:t>
      </w:r>
      <w:proofErr w:type="gramEnd"/>
      <w:r>
        <w:rPr>
          <w:rFonts w:ascii="仿宋_GB2312" w:eastAsia="仿宋_GB2312" w:hAnsi="宋体" w:hint="eastAsia"/>
          <w:bCs/>
          <w:kern w:val="0"/>
          <w:sz w:val="32"/>
          <w:szCs w:val="32"/>
        </w:rPr>
        <w:t>院二级科研管理职责划分对应表</w:t>
      </w:r>
    </w:p>
    <w:p w:rsidR="00A425CB" w:rsidRDefault="00A425CB" w:rsidP="00A425CB">
      <w:pPr>
        <w:tabs>
          <w:tab w:val="left" w:pos="7230"/>
        </w:tabs>
        <w:snapToGrid w:val="0"/>
        <w:spacing w:line="490" w:lineRule="exact"/>
        <w:ind w:firstLineChars="200" w:firstLine="640"/>
        <w:rPr>
          <w:rFonts w:ascii="宋体" w:hAnsi="宋体"/>
          <w:b/>
          <w:bCs/>
          <w:kern w:val="0"/>
          <w:sz w:val="28"/>
          <w:szCs w:val="28"/>
        </w:rPr>
      </w:pPr>
      <w:r>
        <w:rPr>
          <w:rFonts w:ascii="仿宋_GB2312" w:eastAsia="仿宋_GB2312" w:hAnsi="宋体" w:hint="eastAsia"/>
          <w:bCs/>
          <w:kern w:val="0"/>
          <w:sz w:val="32"/>
          <w:szCs w:val="32"/>
        </w:rPr>
        <w:t>附件2：湖南财政经济学</w:t>
      </w:r>
      <w:proofErr w:type="gramStart"/>
      <w:r>
        <w:rPr>
          <w:rFonts w:ascii="仿宋_GB2312" w:eastAsia="仿宋_GB2312" w:hAnsi="宋体" w:hint="eastAsia"/>
          <w:bCs/>
          <w:kern w:val="0"/>
          <w:sz w:val="32"/>
          <w:szCs w:val="32"/>
        </w:rPr>
        <w:t>院校院校</w:t>
      </w:r>
      <w:proofErr w:type="gramEnd"/>
      <w:r>
        <w:rPr>
          <w:rFonts w:ascii="仿宋_GB2312" w:eastAsia="仿宋_GB2312" w:hAnsi="宋体" w:hint="eastAsia"/>
          <w:bCs/>
          <w:kern w:val="0"/>
          <w:sz w:val="32"/>
          <w:szCs w:val="32"/>
        </w:rPr>
        <w:t>院二级学院科研工作量化考核表</w:t>
      </w:r>
    </w:p>
    <w:p w:rsidR="00A425CB" w:rsidRDefault="00A425CB" w:rsidP="00A425CB">
      <w:pPr>
        <w:snapToGrid w:val="0"/>
        <w:spacing w:line="500" w:lineRule="exact"/>
        <w:rPr>
          <w:rFonts w:ascii="宋体" w:hAnsi="宋体" w:hint="eastAsia"/>
          <w:b/>
          <w:bCs/>
          <w:kern w:val="0"/>
          <w:sz w:val="28"/>
          <w:szCs w:val="28"/>
        </w:rPr>
      </w:pPr>
    </w:p>
    <w:p w:rsidR="00A425CB" w:rsidRDefault="00A425CB" w:rsidP="00A425CB">
      <w:pPr>
        <w:snapToGrid w:val="0"/>
        <w:spacing w:line="500" w:lineRule="exact"/>
        <w:jc w:val="center"/>
        <w:rPr>
          <w:rFonts w:ascii="宋体" w:hAnsi="宋体" w:hint="eastAsia"/>
          <w:b/>
          <w:bCs/>
          <w:kern w:val="0"/>
          <w:sz w:val="28"/>
          <w:szCs w:val="28"/>
        </w:rPr>
      </w:pPr>
      <w:r>
        <w:rPr>
          <w:rFonts w:ascii="仿宋" w:eastAsia="仿宋" w:hAnsi="仿宋" w:cs="Calibri" w:hint="eastAsia"/>
          <w:color w:val="000000"/>
          <w:kern w:val="0"/>
          <w:sz w:val="32"/>
          <w:szCs w:val="32"/>
        </w:rPr>
        <w:t xml:space="preserve">                  </w:t>
      </w:r>
      <w:r>
        <w:rPr>
          <w:rFonts w:ascii="仿宋_GB2312" w:eastAsia="仿宋_GB2312" w:hAnsi="宋体" w:hint="eastAsia"/>
          <w:bCs/>
          <w:kern w:val="0"/>
          <w:sz w:val="32"/>
          <w:szCs w:val="32"/>
        </w:rPr>
        <w:t>2018年12月13日</w:t>
      </w:r>
    </w:p>
    <w:p w:rsidR="00A425CB" w:rsidRDefault="00A425CB" w:rsidP="00A425CB">
      <w:pPr>
        <w:snapToGrid w:val="0"/>
        <w:spacing w:line="500" w:lineRule="exact"/>
        <w:jc w:val="center"/>
        <w:rPr>
          <w:rFonts w:ascii="宋体" w:hAnsi="宋体" w:hint="eastAsia"/>
          <w:b/>
          <w:bCs/>
          <w:kern w:val="0"/>
          <w:sz w:val="28"/>
          <w:szCs w:val="28"/>
        </w:rPr>
      </w:pPr>
    </w:p>
    <w:p w:rsidR="00A425CB" w:rsidRDefault="00A425CB" w:rsidP="00A425CB">
      <w:pPr>
        <w:snapToGrid w:val="0"/>
        <w:spacing w:line="500" w:lineRule="exact"/>
        <w:jc w:val="center"/>
        <w:rPr>
          <w:rFonts w:ascii="宋体" w:hAnsi="宋体" w:hint="eastAsia"/>
          <w:b/>
          <w:bCs/>
          <w:kern w:val="0"/>
          <w:sz w:val="28"/>
          <w:szCs w:val="28"/>
        </w:rPr>
      </w:pPr>
    </w:p>
    <w:p w:rsidR="00A425CB" w:rsidRDefault="00A425CB" w:rsidP="00A425CB">
      <w:pPr>
        <w:snapToGrid w:val="0"/>
        <w:spacing w:line="500" w:lineRule="exact"/>
        <w:jc w:val="center"/>
        <w:rPr>
          <w:rFonts w:ascii="宋体" w:hAnsi="宋体" w:hint="eastAsia"/>
          <w:b/>
          <w:bCs/>
          <w:kern w:val="0"/>
          <w:sz w:val="28"/>
          <w:szCs w:val="28"/>
        </w:rPr>
      </w:pPr>
    </w:p>
    <w:p w:rsidR="00A425CB" w:rsidRDefault="00A425CB" w:rsidP="00A425CB">
      <w:pPr>
        <w:spacing w:line="460" w:lineRule="exact"/>
        <w:rPr>
          <w:rFonts w:ascii="仿宋_GB2312" w:eastAsia="仿宋_GB2312"/>
          <w:sz w:val="32"/>
          <w:szCs w:val="32"/>
        </w:rPr>
      </w:pPr>
      <w:r>
        <w:rPr>
          <w:rFonts w:ascii="黑体" w:eastAsia="黑体" w:cs="黑体"/>
          <w:sz w:val="32"/>
          <w:szCs w:val="32"/>
          <w:u w:val="single"/>
        </w:rPr>
        <w:t xml:space="preserve">                                                           </w:t>
      </w:r>
    </w:p>
    <w:p w:rsidR="00A425CB" w:rsidRDefault="00A425CB" w:rsidP="00A425CB">
      <w:pPr>
        <w:snapToGrid w:val="0"/>
        <w:spacing w:line="460" w:lineRule="exact"/>
        <w:rPr>
          <w:rFonts w:ascii="宋体" w:hAnsi="宋体"/>
          <w:b/>
          <w:bCs/>
          <w:kern w:val="0"/>
          <w:sz w:val="28"/>
          <w:szCs w:val="28"/>
        </w:rPr>
      </w:pPr>
      <w:r>
        <w:rPr>
          <w:rFonts w:ascii="仿宋_GB2312" w:eastAsia="仿宋_GB2312" w:cs="仿宋_GB2312"/>
          <w:sz w:val="32"/>
          <w:szCs w:val="32"/>
          <w:u w:val="single"/>
        </w:rPr>
        <w:t>湖南财政经济学院党政办          2018年</w:t>
      </w:r>
      <w:r>
        <w:rPr>
          <w:rFonts w:ascii="仿宋_GB2312" w:eastAsia="仿宋_GB2312" w:cs="仿宋_GB2312" w:hint="eastAsia"/>
          <w:sz w:val="32"/>
          <w:szCs w:val="32"/>
          <w:u w:val="single"/>
        </w:rPr>
        <w:t>12</w:t>
      </w:r>
      <w:r>
        <w:rPr>
          <w:rFonts w:ascii="仿宋_GB2312" w:eastAsia="仿宋_GB2312" w:cs="仿宋_GB2312"/>
          <w:sz w:val="32"/>
          <w:szCs w:val="32"/>
          <w:u w:val="single"/>
        </w:rPr>
        <w:t>月</w:t>
      </w:r>
      <w:r>
        <w:rPr>
          <w:rFonts w:ascii="仿宋_GB2312" w:eastAsia="仿宋_GB2312" w:cs="仿宋_GB2312" w:hint="eastAsia"/>
          <w:sz w:val="32"/>
          <w:szCs w:val="32"/>
          <w:u w:val="single"/>
        </w:rPr>
        <w:t>18</w:t>
      </w:r>
      <w:r>
        <w:rPr>
          <w:rFonts w:ascii="仿宋_GB2312" w:eastAsia="仿宋_GB2312" w:cs="仿宋_GB2312"/>
          <w:sz w:val="32"/>
          <w:szCs w:val="32"/>
          <w:u w:val="single"/>
        </w:rPr>
        <w:t xml:space="preserve">日印发  </w:t>
      </w:r>
      <w:r>
        <w:rPr>
          <w:rFonts w:ascii="宋体" w:hAnsi="宋体" w:hint="eastAsia"/>
          <w:b/>
          <w:bCs/>
          <w:kern w:val="0"/>
          <w:sz w:val="28"/>
          <w:szCs w:val="28"/>
        </w:rPr>
        <w:lastRenderedPageBreak/>
        <w:t>附件1：湖南财政经济学</w:t>
      </w:r>
      <w:proofErr w:type="gramStart"/>
      <w:r>
        <w:rPr>
          <w:rFonts w:ascii="宋体" w:hAnsi="宋体" w:hint="eastAsia"/>
          <w:b/>
          <w:bCs/>
          <w:kern w:val="0"/>
          <w:sz w:val="28"/>
          <w:szCs w:val="28"/>
        </w:rPr>
        <w:t>院校院校</w:t>
      </w:r>
      <w:proofErr w:type="gramEnd"/>
      <w:r>
        <w:rPr>
          <w:rFonts w:ascii="宋体" w:hAnsi="宋体" w:hint="eastAsia"/>
          <w:b/>
          <w:bCs/>
          <w:kern w:val="0"/>
          <w:sz w:val="28"/>
          <w:szCs w:val="28"/>
        </w:rPr>
        <w:t>院二级科研管理职责划分对应表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4536"/>
      </w:tblGrid>
      <w:tr w:rsidR="00A425CB" w:rsidTr="00C15B80">
        <w:tc>
          <w:tcPr>
            <w:tcW w:w="3936" w:type="dxa"/>
          </w:tcPr>
          <w:p w:rsidR="00A425CB" w:rsidRDefault="00A425CB" w:rsidP="00C15B80">
            <w:pPr>
              <w:snapToGrid w:val="0"/>
              <w:spacing w:line="360" w:lineRule="exact"/>
              <w:jc w:val="center"/>
              <w:rPr>
                <w:rFonts w:ascii="宋体" w:hAnsi="宋体"/>
                <w:b/>
                <w:bCs/>
                <w:sz w:val="24"/>
              </w:rPr>
            </w:pPr>
            <w:r>
              <w:rPr>
                <w:rFonts w:ascii="宋体" w:hAnsi="宋体" w:hint="eastAsia"/>
                <w:b/>
                <w:bCs/>
                <w:sz w:val="24"/>
              </w:rPr>
              <w:t>科研处</w:t>
            </w:r>
          </w:p>
        </w:tc>
        <w:tc>
          <w:tcPr>
            <w:tcW w:w="4536" w:type="dxa"/>
          </w:tcPr>
          <w:p w:rsidR="00A425CB" w:rsidRDefault="00A425CB" w:rsidP="00C15B80">
            <w:pPr>
              <w:snapToGrid w:val="0"/>
              <w:spacing w:line="360" w:lineRule="exact"/>
              <w:jc w:val="center"/>
              <w:rPr>
                <w:rFonts w:ascii="宋体" w:hAnsi="宋体"/>
                <w:b/>
                <w:bCs/>
                <w:sz w:val="24"/>
              </w:rPr>
            </w:pPr>
            <w:r>
              <w:rPr>
                <w:rFonts w:ascii="宋体" w:hAnsi="宋体" w:hint="eastAsia"/>
                <w:b/>
                <w:bCs/>
                <w:sz w:val="24"/>
              </w:rPr>
              <w:t>二级学院</w:t>
            </w:r>
          </w:p>
        </w:tc>
      </w:tr>
      <w:tr w:rsidR="00A425CB" w:rsidTr="00C15B80">
        <w:trPr>
          <w:trHeight w:val="90"/>
        </w:trPr>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（1）制定学校科研工作与学科建设的总体规划、管理制度、评价体系</w:t>
            </w:r>
            <w:bookmarkStart w:id="1" w:name="_GoBack"/>
            <w:bookmarkEnd w:id="1"/>
            <w:r>
              <w:rPr>
                <w:rFonts w:ascii="宋体" w:hAnsi="宋体" w:hint="eastAsia"/>
                <w:bCs/>
                <w:sz w:val="24"/>
              </w:rPr>
              <w:t>。</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（1）根据学校总体安排和本学院实际，组织实施学院科研工作与学科建设工作。</w:t>
            </w:r>
          </w:p>
        </w:tc>
      </w:tr>
      <w:tr w:rsidR="00A425CB" w:rsidTr="00C15B80">
        <w:tc>
          <w:tcPr>
            <w:tcW w:w="3936" w:type="dxa"/>
          </w:tcPr>
          <w:p w:rsidR="00A425CB" w:rsidRDefault="00A425CB" w:rsidP="00C15B80">
            <w:pPr>
              <w:tabs>
                <w:tab w:val="left" w:pos="2190"/>
              </w:tabs>
              <w:snapToGrid w:val="0"/>
              <w:spacing w:line="400" w:lineRule="exact"/>
              <w:rPr>
                <w:rFonts w:ascii="宋体" w:hAnsi="宋体"/>
                <w:bCs/>
                <w:sz w:val="24"/>
              </w:rPr>
            </w:pPr>
            <w:r>
              <w:rPr>
                <w:rFonts w:ascii="宋体" w:hAnsi="宋体" w:hint="eastAsia"/>
                <w:bCs/>
                <w:sz w:val="24"/>
              </w:rPr>
              <w:t>（2）负责组织协调学校校级及以上重点学科、重点科研平台、重点研究基地的申报立项、建设、检查、验收等工作。</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（2）负责按照学校要求组织实施本</w:t>
            </w:r>
            <w:proofErr w:type="gramStart"/>
            <w:r>
              <w:rPr>
                <w:rFonts w:ascii="宋体" w:hAnsi="宋体" w:hint="eastAsia"/>
                <w:bCs/>
                <w:sz w:val="24"/>
              </w:rPr>
              <w:t>院校级</w:t>
            </w:r>
            <w:proofErr w:type="gramEnd"/>
            <w:r>
              <w:rPr>
                <w:rFonts w:ascii="宋体" w:hAnsi="宋体" w:hint="eastAsia"/>
                <w:bCs/>
                <w:sz w:val="24"/>
              </w:rPr>
              <w:t>及以上重点学科、科研平台、研究基地的申报立项、建设、检查验收等工作；负责本院其他学科建设与科研团队建设工作。</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（3）负责统一组织报送、审核所有纵向研究项目的申请立项、中期检查</w:t>
            </w:r>
            <w:proofErr w:type="gramStart"/>
            <w:r>
              <w:rPr>
                <w:rFonts w:ascii="宋体" w:hAnsi="宋体" w:hint="eastAsia"/>
                <w:bCs/>
                <w:sz w:val="24"/>
              </w:rPr>
              <w:t>和结项验收</w:t>
            </w:r>
            <w:proofErr w:type="gramEnd"/>
            <w:r>
              <w:rPr>
                <w:rFonts w:ascii="宋体" w:hAnsi="宋体" w:hint="eastAsia"/>
                <w:bCs/>
                <w:sz w:val="24"/>
              </w:rPr>
              <w:t>等材料；负责统一组织报送、审核所有纵向研究成果奖励的申请材料。</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（3）负责所有纵向项目的开题、中期检查</w:t>
            </w:r>
            <w:proofErr w:type="gramStart"/>
            <w:r>
              <w:rPr>
                <w:rFonts w:ascii="宋体" w:hAnsi="宋体" w:hint="eastAsia"/>
                <w:bCs/>
                <w:sz w:val="24"/>
              </w:rPr>
              <w:t>和结项审查</w:t>
            </w:r>
            <w:proofErr w:type="gramEnd"/>
            <w:r>
              <w:rPr>
                <w:rFonts w:ascii="宋体" w:hAnsi="宋体" w:hint="eastAsia"/>
                <w:bCs/>
                <w:sz w:val="24"/>
              </w:rPr>
              <w:t>等过程管理工作；负责管理本学院所属的横向项目申报、开题、检查、</w:t>
            </w:r>
            <w:proofErr w:type="gramStart"/>
            <w:r>
              <w:rPr>
                <w:rFonts w:ascii="宋体" w:hAnsi="宋体" w:hint="eastAsia"/>
                <w:bCs/>
                <w:sz w:val="24"/>
              </w:rPr>
              <w:t>结项等</w:t>
            </w:r>
            <w:proofErr w:type="gramEnd"/>
            <w:r>
              <w:rPr>
                <w:rFonts w:ascii="宋体" w:hAnsi="宋体" w:hint="eastAsia"/>
                <w:bCs/>
                <w:sz w:val="24"/>
              </w:rPr>
              <w:t>相关工作；负责协助组织报送所有纵向研究成果奖励的推荐工作。</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（4）负责全校科研工作量的申报管理、成果产权、等级、计分标准的最终复核。</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（4）负责归属本学院人员的科研工作量的申报管理、成果产权鉴定、等级认定、计分标准审核和分值统计。</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（5）负责汇总统计全校科研信息，包括学科、平台（基地）、项目、成果、获奖、应用等内容。</w:t>
            </w:r>
          </w:p>
        </w:tc>
        <w:tc>
          <w:tcPr>
            <w:tcW w:w="4536" w:type="dxa"/>
          </w:tcPr>
          <w:p w:rsidR="00A425CB" w:rsidRDefault="00A425CB" w:rsidP="00C15B80">
            <w:pPr>
              <w:tabs>
                <w:tab w:val="left" w:pos="854"/>
              </w:tabs>
              <w:snapToGrid w:val="0"/>
              <w:spacing w:line="400" w:lineRule="exact"/>
              <w:rPr>
                <w:rFonts w:ascii="宋体" w:hAnsi="宋体"/>
                <w:bCs/>
                <w:sz w:val="24"/>
              </w:rPr>
            </w:pPr>
            <w:r>
              <w:rPr>
                <w:rFonts w:ascii="宋体" w:hAnsi="宋体" w:hint="eastAsia"/>
                <w:bCs/>
                <w:sz w:val="24"/>
              </w:rPr>
              <w:t>（5）负责汇总统计各学院科研信息，包括学科、平台（基地）、项目、成果、获奖、应用等基础信息的核实、统计和档案管理。</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（6）负责组织校学术委员会会议和全校学术会议，协调学院学术活动。</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（6）负责组织本学院学术委员会会议和学术交流活动。</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（7）负责组织推进学校重大科研成果的转化与推广应用。</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（7）协助本院重要的科研成果的转化与推广应用。</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（8）负责全校性的学术规范与学术道德的宣传教育活动。</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（8）教育引导本院师生遵守学术规范与学术道德规范。</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（9）根据学校绩效考核方案确定的科研工作任务，进行学院科研工作任务写成情况的考核评价与相应的激励约束。</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（9）采取切实措施，争取完成或超额完成学校规定的学院年度总体科研工作任务和个人年度科研工作任务，努力提高科研工作任务完成率、参与率。</w:t>
            </w:r>
          </w:p>
        </w:tc>
      </w:tr>
      <w:tr w:rsidR="00A425CB" w:rsidTr="00C15B80">
        <w:tc>
          <w:tcPr>
            <w:tcW w:w="3936" w:type="dxa"/>
          </w:tcPr>
          <w:p w:rsidR="00A425CB" w:rsidRDefault="00A425CB" w:rsidP="00C15B80">
            <w:pPr>
              <w:snapToGrid w:val="0"/>
              <w:spacing w:line="400" w:lineRule="exact"/>
              <w:rPr>
                <w:rFonts w:ascii="宋体" w:hAnsi="宋体"/>
                <w:bCs/>
                <w:sz w:val="24"/>
              </w:rPr>
            </w:pPr>
            <w:r>
              <w:rPr>
                <w:rFonts w:ascii="宋体" w:hAnsi="宋体" w:hint="eastAsia"/>
                <w:bCs/>
                <w:sz w:val="24"/>
              </w:rPr>
              <w:t>（10）负责学校科研工作与学科建设相关工作的年度总结汇报与宣传。</w:t>
            </w:r>
          </w:p>
        </w:tc>
        <w:tc>
          <w:tcPr>
            <w:tcW w:w="4536" w:type="dxa"/>
          </w:tcPr>
          <w:p w:rsidR="00A425CB" w:rsidRDefault="00A425CB" w:rsidP="00C15B80">
            <w:pPr>
              <w:snapToGrid w:val="0"/>
              <w:spacing w:line="400" w:lineRule="exact"/>
              <w:rPr>
                <w:rFonts w:ascii="宋体" w:hAnsi="宋体"/>
                <w:bCs/>
                <w:sz w:val="24"/>
              </w:rPr>
            </w:pPr>
            <w:r>
              <w:rPr>
                <w:rFonts w:ascii="宋体" w:hAnsi="宋体" w:hint="eastAsia"/>
                <w:bCs/>
                <w:sz w:val="24"/>
              </w:rPr>
              <w:t>（10）负责本学院科研工作与学科建设相关工作的年度总结汇报与宣传。</w:t>
            </w:r>
          </w:p>
        </w:tc>
      </w:tr>
    </w:tbl>
    <w:p w:rsidR="00A425CB" w:rsidRDefault="00A425CB" w:rsidP="00A425CB">
      <w:pPr>
        <w:snapToGrid w:val="0"/>
        <w:spacing w:line="500" w:lineRule="exact"/>
        <w:ind w:firstLineChars="196" w:firstLine="549"/>
        <w:rPr>
          <w:rFonts w:ascii="宋体" w:hAnsi="宋体"/>
          <w:bCs/>
          <w:kern w:val="0"/>
          <w:sz w:val="28"/>
          <w:szCs w:val="28"/>
        </w:rPr>
      </w:pPr>
    </w:p>
    <w:p w:rsidR="00A425CB" w:rsidRDefault="00A425CB" w:rsidP="00A425CB">
      <w:pPr>
        <w:snapToGrid w:val="0"/>
        <w:spacing w:line="500" w:lineRule="exact"/>
        <w:ind w:firstLineChars="196" w:firstLine="549"/>
        <w:rPr>
          <w:rFonts w:ascii="宋体" w:hAnsi="宋体"/>
          <w:bCs/>
          <w:kern w:val="0"/>
          <w:sz w:val="28"/>
          <w:szCs w:val="28"/>
        </w:rPr>
      </w:pPr>
    </w:p>
    <w:p w:rsidR="00A425CB" w:rsidRDefault="00A425CB" w:rsidP="00A425CB">
      <w:pPr>
        <w:snapToGrid w:val="0"/>
        <w:spacing w:line="500" w:lineRule="exact"/>
        <w:jc w:val="center"/>
        <w:rPr>
          <w:rFonts w:ascii="宋体" w:hAnsi="宋体"/>
          <w:b/>
          <w:bCs/>
          <w:kern w:val="0"/>
          <w:sz w:val="28"/>
          <w:szCs w:val="28"/>
        </w:rPr>
      </w:pPr>
      <w:r>
        <w:rPr>
          <w:rFonts w:ascii="宋体" w:hAnsi="宋体" w:hint="eastAsia"/>
          <w:b/>
          <w:bCs/>
          <w:kern w:val="0"/>
          <w:sz w:val="28"/>
          <w:szCs w:val="28"/>
        </w:rPr>
        <w:lastRenderedPageBreak/>
        <w:t>附件2：湖南财政经济学</w:t>
      </w:r>
      <w:proofErr w:type="gramStart"/>
      <w:r>
        <w:rPr>
          <w:rFonts w:ascii="宋体" w:hAnsi="宋体" w:hint="eastAsia"/>
          <w:b/>
          <w:bCs/>
          <w:kern w:val="0"/>
          <w:sz w:val="28"/>
          <w:szCs w:val="28"/>
        </w:rPr>
        <w:t>院校院校</w:t>
      </w:r>
      <w:proofErr w:type="gramEnd"/>
      <w:r>
        <w:rPr>
          <w:rFonts w:ascii="宋体" w:hAnsi="宋体" w:hint="eastAsia"/>
          <w:b/>
          <w:bCs/>
          <w:kern w:val="0"/>
          <w:sz w:val="28"/>
          <w:szCs w:val="28"/>
        </w:rPr>
        <w:t>院二级学院科研工作量化考核表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846"/>
        <w:gridCol w:w="3399"/>
        <w:gridCol w:w="568"/>
        <w:gridCol w:w="850"/>
        <w:gridCol w:w="992"/>
        <w:gridCol w:w="334"/>
      </w:tblGrid>
      <w:tr w:rsidR="00A425CB" w:rsidTr="00C15B80">
        <w:trPr>
          <w:trHeight w:val="210"/>
          <w:jc w:val="center"/>
        </w:trPr>
        <w:tc>
          <w:tcPr>
            <w:tcW w:w="2379" w:type="dxa"/>
            <w:gridSpan w:val="2"/>
            <w:vMerge w:val="restart"/>
            <w:tcBorders>
              <w:top w:val="single" w:sz="4" w:space="0" w:color="auto"/>
              <w:left w:val="single" w:sz="4" w:space="0" w:color="auto"/>
              <w:bottom w:val="single" w:sz="4" w:space="0" w:color="auto"/>
              <w:right w:val="single" w:sz="4" w:space="0" w:color="auto"/>
            </w:tcBorders>
            <w:vAlign w:val="center"/>
          </w:tcPr>
          <w:p w:rsidR="00A425CB" w:rsidRDefault="00A425CB" w:rsidP="00C15B80">
            <w:pPr>
              <w:widowControl/>
              <w:spacing w:line="240" w:lineRule="exact"/>
              <w:jc w:val="center"/>
              <w:rPr>
                <w:rFonts w:ascii="仿宋_GB2312" w:eastAsia="仿宋_GB2312" w:hAnsi="宋体"/>
                <w:color w:val="000000"/>
                <w:sz w:val="24"/>
              </w:rPr>
            </w:pPr>
            <w:r>
              <w:rPr>
                <w:rFonts w:ascii="仿宋_GB2312" w:eastAsia="仿宋_GB2312" w:hAnsi="宋体" w:hint="eastAsia"/>
                <w:color w:val="000000"/>
                <w:sz w:val="24"/>
              </w:rPr>
              <w:t>考核内容</w:t>
            </w:r>
          </w:p>
        </w:tc>
        <w:tc>
          <w:tcPr>
            <w:tcW w:w="3399" w:type="dxa"/>
            <w:vMerge w:val="restart"/>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hAnsi="宋体"/>
                <w:color w:val="000000"/>
                <w:sz w:val="24"/>
              </w:rPr>
            </w:pPr>
            <w:r>
              <w:rPr>
                <w:rFonts w:ascii="仿宋_GB2312" w:eastAsia="仿宋_GB2312" w:hAnsi="宋体" w:hint="eastAsia"/>
                <w:color w:val="000000"/>
                <w:sz w:val="24"/>
              </w:rPr>
              <w:t>考核标准</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hAnsi="宋体"/>
                <w:color w:val="000000"/>
                <w:sz w:val="24"/>
              </w:rPr>
            </w:pPr>
            <w:r>
              <w:rPr>
                <w:rFonts w:ascii="仿宋_GB2312" w:eastAsia="仿宋_GB2312" w:hAnsi="宋体" w:hint="eastAsia"/>
                <w:color w:val="000000"/>
                <w:sz w:val="24"/>
              </w:rPr>
              <w:t>分值</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color w:val="000000"/>
                <w:sz w:val="24"/>
              </w:rPr>
            </w:pPr>
            <w:r>
              <w:rPr>
                <w:rFonts w:ascii="仿宋_GB2312" w:eastAsia="仿宋_GB2312" w:hint="eastAsia"/>
                <w:color w:val="000000"/>
                <w:sz w:val="24"/>
              </w:rPr>
              <w:t>等次及分值</w:t>
            </w:r>
          </w:p>
        </w:tc>
        <w:tc>
          <w:tcPr>
            <w:tcW w:w="334" w:type="dxa"/>
            <w:vMerge w:val="restart"/>
            <w:tcBorders>
              <w:top w:val="single" w:sz="4" w:space="0" w:color="auto"/>
              <w:left w:val="single" w:sz="4" w:space="0" w:color="auto"/>
              <w:right w:val="single" w:sz="4" w:space="0" w:color="auto"/>
            </w:tcBorders>
            <w:vAlign w:val="center"/>
          </w:tcPr>
          <w:p w:rsidR="00A425CB" w:rsidRDefault="00A425CB" w:rsidP="00C15B80">
            <w:pPr>
              <w:spacing w:line="240" w:lineRule="exact"/>
              <w:jc w:val="center"/>
              <w:rPr>
                <w:rFonts w:ascii="仿宋_GB2312" w:eastAsia="仿宋_GB2312"/>
                <w:color w:val="000000"/>
                <w:sz w:val="24"/>
              </w:rPr>
            </w:pPr>
          </w:p>
          <w:p w:rsidR="00A425CB" w:rsidRDefault="00A425CB" w:rsidP="00C15B80">
            <w:pPr>
              <w:spacing w:line="240" w:lineRule="exact"/>
              <w:jc w:val="center"/>
              <w:rPr>
                <w:rFonts w:ascii="仿宋_GB2312" w:eastAsia="仿宋_GB2312"/>
                <w:color w:val="000000"/>
                <w:sz w:val="24"/>
              </w:rPr>
            </w:pPr>
          </w:p>
        </w:tc>
      </w:tr>
      <w:tr w:rsidR="00A425CB" w:rsidTr="00C15B80">
        <w:trPr>
          <w:trHeight w:val="228"/>
          <w:jc w:val="center"/>
        </w:trPr>
        <w:tc>
          <w:tcPr>
            <w:tcW w:w="2379" w:type="dxa"/>
            <w:gridSpan w:val="2"/>
            <w:vMerge/>
            <w:tcBorders>
              <w:top w:val="single" w:sz="4" w:space="0" w:color="auto"/>
              <w:left w:val="single" w:sz="4" w:space="0" w:color="auto"/>
              <w:bottom w:val="single" w:sz="4" w:space="0" w:color="auto"/>
              <w:right w:val="single" w:sz="4" w:space="0" w:color="auto"/>
            </w:tcBorders>
            <w:vAlign w:val="center"/>
          </w:tcPr>
          <w:p w:rsidR="00A425CB" w:rsidRDefault="00A425CB" w:rsidP="00C15B80">
            <w:pPr>
              <w:widowControl/>
              <w:spacing w:line="240" w:lineRule="exact"/>
              <w:jc w:val="left"/>
              <w:rPr>
                <w:rFonts w:ascii="仿宋_GB2312" w:eastAsia="仿宋_GB2312" w:hAnsi="宋体"/>
                <w:color w:val="000000"/>
                <w:sz w:val="24"/>
              </w:rPr>
            </w:pPr>
          </w:p>
        </w:tc>
        <w:tc>
          <w:tcPr>
            <w:tcW w:w="3399" w:type="dxa"/>
            <w:vMerge/>
            <w:tcBorders>
              <w:top w:val="single" w:sz="4" w:space="0" w:color="auto"/>
              <w:left w:val="single" w:sz="4" w:space="0" w:color="auto"/>
              <w:bottom w:val="single" w:sz="4" w:space="0" w:color="auto"/>
              <w:right w:val="single" w:sz="4" w:space="0" w:color="auto"/>
            </w:tcBorders>
            <w:vAlign w:val="center"/>
          </w:tcPr>
          <w:p w:rsidR="00A425CB" w:rsidRDefault="00A425CB" w:rsidP="00C15B80">
            <w:pPr>
              <w:widowControl/>
              <w:spacing w:line="240" w:lineRule="exact"/>
              <w:jc w:val="left"/>
              <w:rPr>
                <w:rFonts w:ascii="仿宋_GB2312" w:eastAsia="仿宋_GB2312" w:hAnsi="宋体"/>
                <w:color w:val="000000"/>
                <w:sz w:val="24"/>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A425CB" w:rsidRDefault="00A425CB" w:rsidP="00C15B80">
            <w:pPr>
              <w:widowControl/>
              <w:spacing w:line="240" w:lineRule="exact"/>
              <w:jc w:val="left"/>
              <w:rPr>
                <w:rFonts w:ascii="仿宋_GB2312" w:eastAsia="仿宋_GB2312"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color w:val="000000"/>
                <w:szCs w:val="21"/>
              </w:rPr>
            </w:pPr>
            <w:r>
              <w:rPr>
                <w:rFonts w:ascii="仿宋_GB2312" w:eastAsia="仿宋_GB2312" w:hint="eastAsia"/>
                <w:color w:val="000000"/>
                <w:szCs w:val="21"/>
              </w:rPr>
              <w:t>等次</w:t>
            </w:r>
          </w:p>
        </w:tc>
        <w:tc>
          <w:tcPr>
            <w:tcW w:w="992"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color w:val="000000"/>
                <w:szCs w:val="21"/>
              </w:rPr>
            </w:pPr>
            <w:r>
              <w:rPr>
                <w:rFonts w:ascii="仿宋_GB2312" w:eastAsia="仿宋_GB2312" w:hint="eastAsia"/>
                <w:color w:val="000000"/>
                <w:szCs w:val="21"/>
              </w:rPr>
              <w:t>得分</w:t>
            </w:r>
          </w:p>
        </w:tc>
        <w:tc>
          <w:tcPr>
            <w:tcW w:w="334" w:type="dxa"/>
            <w:vMerge/>
            <w:tcBorders>
              <w:left w:val="single" w:sz="4" w:space="0" w:color="auto"/>
              <w:bottom w:val="single" w:sz="4" w:space="0" w:color="auto"/>
              <w:right w:val="single" w:sz="4" w:space="0" w:color="auto"/>
            </w:tcBorders>
            <w:vAlign w:val="center"/>
          </w:tcPr>
          <w:p w:rsidR="00A425CB" w:rsidRDefault="00A425CB" w:rsidP="00C15B80">
            <w:pPr>
              <w:spacing w:line="240" w:lineRule="exact"/>
              <w:jc w:val="center"/>
              <w:rPr>
                <w:rFonts w:ascii="仿宋_GB2312" w:eastAsia="仿宋_GB2312"/>
                <w:color w:val="000000"/>
                <w:szCs w:val="21"/>
              </w:rPr>
            </w:pPr>
          </w:p>
        </w:tc>
      </w:tr>
      <w:tr w:rsidR="00A425CB" w:rsidTr="00C15B80">
        <w:trPr>
          <w:trHeight w:val="685"/>
          <w:jc w:val="center"/>
        </w:trPr>
        <w:tc>
          <w:tcPr>
            <w:tcW w:w="533" w:type="dxa"/>
            <w:vMerge w:val="restart"/>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科研基础工作情况</w:t>
            </w:r>
          </w:p>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1846" w:type="dxa"/>
            <w:tcBorders>
              <w:top w:val="single" w:sz="4" w:space="0" w:color="auto"/>
              <w:left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学科建设规划与激励情况</w:t>
            </w:r>
          </w:p>
        </w:tc>
        <w:tc>
          <w:tcPr>
            <w:tcW w:w="3399" w:type="dxa"/>
            <w:tcBorders>
              <w:top w:val="single" w:sz="4" w:space="0" w:color="auto"/>
              <w:left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分别以合理为优秀、一般为合格、较差为不合格三个等级评分为90、70、50</w:t>
            </w:r>
          </w:p>
        </w:tc>
        <w:tc>
          <w:tcPr>
            <w:tcW w:w="568" w:type="dxa"/>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2</w:t>
            </w:r>
          </w:p>
        </w:tc>
        <w:tc>
          <w:tcPr>
            <w:tcW w:w="850" w:type="dxa"/>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4"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r>
      <w:tr w:rsidR="00A425CB" w:rsidTr="00C15B80">
        <w:trPr>
          <w:trHeight w:val="548"/>
          <w:jc w:val="center"/>
        </w:trPr>
        <w:tc>
          <w:tcPr>
            <w:tcW w:w="533"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科研团队建设与保障情况</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分别以有力为优秀、一般为合格、较差为不合格三个等级评分为90、70、50</w:t>
            </w:r>
          </w:p>
        </w:tc>
        <w:tc>
          <w:tcPr>
            <w:tcW w:w="568"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sz w:val="24"/>
              </w:rPr>
            </w:pPr>
            <w:r>
              <w:rPr>
                <w:rFonts w:ascii="仿宋_GB2312" w:eastAsia="仿宋_GB2312" w:hint="eastAsia"/>
                <w:color w:val="000000"/>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4"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r>
      <w:tr w:rsidR="00A425CB" w:rsidTr="00C15B80">
        <w:trPr>
          <w:trHeight w:val="299"/>
          <w:jc w:val="center"/>
        </w:trPr>
        <w:tc>
          <w:tcPr>
            <w:tcW w:w="533"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widowControl/>
              <w:spacing w:line="280" w:lineRule="exact"/>
              <w:rPr>
                <w:rFonts w:ascii="仿宋_GB2312" w:eastAsia="仿宋_GB2312" w:hAnsi="宋体" w:cs="宋体"/>
                <w:color w:val="000000"/>
                <w:kern w:val="0"/>
                <w:sz w:val="24"/>
              </w:rPr>
            </w:pPr>
            <w:r>
              <w:rPr>
                <w:rFonts w:ascii="仿宋_GB2312" w:eastAsia="仿宋_GB2312" w:hint="eastAsia"/>
                <w:color w:val="000000"/>
                <w:sz w:val="24"/>
              </w:rPr>
              <w:t>科研信息的统计上报</w:t>
            </w:r>
            <w:r>
              <w:rPr>
                <w:rFonts w:ascii="仿宋_GB2312" w:eastAsia="仿宋_GB2312" w:hAnsi="宋体" w:cs="宋体" w:hint="eastAsia"/>
                <w:color w:val="000000"/>
                <w:kern w:val="0"/>
                <w:sz w:val="24"/>
              </w:rPr>
              <w:t>情况</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hAnsi="宋体"/>
                <w:color w:val="000000"/>
                <w:w w:val="90"/>
                <w:sz w:val="24"/>
              </w:rPr>
            </w:pPr>
            <w:r>
              <w:rPr>
                <w:rFonts w:ascii="仿宋_GB2312" w:eastAsia="仿宋_GB2312" w:hint="eastAsia"/>
                <w:color w:val="000000"/>
                <w:sz w:val="24"/>
              </w:rPr>
              <w:t>科研信息统计上报的及时性、精确度</w:t>
            </w:r>
            <w:r>
              <w:rPr>
                <w:rFonts w:ascii="仿宋_GB2312" w:eastAsia="仿宋_GB2312" w:hint="eastAsia"/>
                <w:color w:val="000000"/>
                <w:w w:val="90"/>
                <w:sz w:val="24"/>
              </w:rPr>
              <w:t>排序，较好为优秀90，一般为良好70，靠后为不合格50。</w:t>
            </w:r>
          </w:p>
        </w:tc>
        <w:tc>
          <w:tcPr>
            <w:tcW w:w="568" w:type="dxa"/>
            <w:tcBorders>
              <w:top w:val="single" w:sz="4" w:space="0" w:color="auto"/>
              <w:left w:val="single" w:sz="4" w:space="0" w:color="auto"/>
              <w:bottom w:val="single" w:sz="4" w:space="0" w:color="auto"/>
              <w:right w:val="single" w:sz="4" w:space="0" w:color="auto"/>
            </w:tcBorders>
          </w:tcPr>
          <w:p w:rsidR="00A425CB" w:rsidRDefault="00A425CB" w:rsidP="00C15B80">
            <w:pPr>
              <w:spacing w:line="300" w:lineRule="exact"/>
              <w:rPr>
                <w:rFonts w:ascii="仿宋_GB2312" w:eastAsia="仿宋_GB2312"/>
                <w:color w:val="000000"/>
                <w:sz w:val="24"/>
              </w:rPr>
            </w:pPr>
          </w:p>
          <w:p w:rsidR="00A425CB" w:rsidRDefault="00A425CB" w:rsidP="00C15B80">
            <w:pPr>
              <w:spacing w:line="300" w:lineRule="exact"/>
              <w:rPr>
                <w:rFonts w:ascii="仿宋_GB2312" w:eastAsia="仿宋_GB2312"/>
                <w:color w:val="000000"/>
                <w:sz w:val="24"/>
              </w:rPr>
            </w:pPr>
            <w:r>
              <w:rPr>
                <w:rFonts w:ascii="仿宋_GB2312" w:eastAsia="仿宋_GB2312" w:hint="eastAsia"/>
                <w:color w:val="000000"/>
                <w:sz w:val="24"/>
              </w:rPr>
              <w:t>3</w:t>
            </w:r>
          </w:p>
        </w:tc>
        <w:tc>
          <w:tcPr>
            <w:tcW w:w="850"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4"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r>
      <w:tr w:rsidR="00A425CB" w:rsidTr="00C15B80">
        <w:trPr>
          <w:trHeight w:val="299"/>
          <w:jc w:val="center"/>
        </w:trPr>
        <w:tc>
          <w:tcPr>
            <w:tcW w:w="533" w:type="dxa"/>
            <w:vMerge/>
            <w:tcBorders>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科研文件归档总结宣传情况</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分别以理想为优秀、一般为合格、较差为不合格三个等级评分为90、70、50</w:t>
            </w:r>
          </w:p>
        </w:tc>
        <w:tc>
          <w:tcPr>
            <w:tcW w:w="568"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4"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r>
      <w:tr w:rsidR="00A425CB" w:rsidTr="00C15B80">
        <w:trPr>
          <w:trHeight w:val="284"/>
          <w:jc w:val="center"/>
        </w:trPr>
        <w:tc>
          <w:tcPr>
            <w:tcW w:w="533" w:type="dxa"/>
            <w:vMerge w:val="restart"/>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科研工作绩效评价</w:t>
            </w:r>
          </w:p>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70</w:t>
            </w: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二级学院教师科研</w:t>
            </w:r>
            <w:r>
              <w:rPr>
                <w:rFonts w:ascii="仿宋_GB2312" w:eastAsia="仿宋_GB2312" w:hint="eastAsia"/>
                <w:color w:val="000000"/>
                <w:w w:val="90"/>
                <w:sz w:val="24"/>
              </w:rPr>
              <w:t>工作量</w:t>
            </w:r>
            <w:r>
              <w:rPr>
                <w:rFonts w:ascii="仿宋_GB2312" w:eastAsia="仿宋_GB2312" w:hint="eastAsia"/>
                <w:color w:val="000000"/>
                <w:sz w:val="24"/>
              </w:rPr>
              <w:t>分：</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按照所属教师科研工作量总得分排序，较多为优秀90，一般为良好70，靠后为不合格50。</w:t>
            </w:r>
          </w:p>
        </w:tc>
        <w:tc>
          <w:tcPr>
            <w:tcW w:w="568"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40</w:t>
            </w:r>
          </w:p>
        </w:tc>
        <w:tc>
          <w:tcPr>
            <w:tcW w:w="850"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334" w:type="dxa"/>
            <w:vMerge/>
            <w:tcBorders>
              <w:left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r>
      <w:tr w:rsidR="00A425CB" w:rsidTr="00C15B80">
        <w:trPr>
          <w:jc w:val="center"/>
        </w:trPr>
        <w:tc>
          <w:tcPr>
            <w:tcW w:w="533"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二级学院组织项目申报得分：</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按照组织申报省部级以上课题的得分排序，较多为优秀90，一般为良好70，靠后为不合格50。</w:t>
            </w:r>
          </w:p>
        </w:tc>
        <w:tc>
          <w:tcPr>
            <w:tcW w:w="568"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c>
          <w:tcPr>
            <w:tcW w:w="334" w:type="dxa"/>
            <w:vMerge/>
            <w:tcBorders>
              <w:left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r>
      <w:tr w:rsidR="00A425CB" w:rsidTr="00C15B80">
        <w:trPr>
          <w:jc w:val="center"/>
        </w:trPr>
        <w:tc>
          <w:tcPr>
            <w:tcW w:w="533"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color w:val="000000"/>
                <w:sz w:val="24"/>
              </w:rPr>
            </w:pPr>
            <w:r>
              <w:rPr>
                <w:rFonts w:ascii="仿宋_GB2312" w:eastAsia="仿宋_GB2312" w:hint="eastAsia"/>
                <w:color w:val="000000"/>
                <w:sz w:val="24"/>
              </w:rPr>
              <w:t>二级学院申报学科平台得分：</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eastAsia="仿宋_GB2312"/>
                <w:color w:val="000000"/>
                <w:w w:val="90"/>
                <w:sz w:val="24"/>
              </w:rPr>
            </w:pPr>
            <w:r>
              <w:rPr>
                <w:rFonts w:ascii="仿宋_GB2312" w:eastAsia="仿宋_GB2312" w:hint="eastAsia"/>
                <w:color w:val="000000"/>
                <w:w w:val="90"/>
                <w:sz w:val="24"/>
              </w:rPr>
              <w:t>按照组织申报省部级以上学科平台得分排序，较多为优秀90，一般为良好70，靠后为不合格50。</w:t>
            </w:r>
          </w:p>
        </w:tc>
        <w:tc>
          <w:tcPr>
            <w:tcW w:w="568"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c>
          <w:tcPr>
            <w:tcW w:w="334" w:type="dxa"/>
            <w:vMerge/>
            <w:tcBorders>
              <w:left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r>
      <w:tr w:rsidR="00A425CB" w:rsidTr="00C15B80">
        <w:trPr>
          <w:jc w:val="center"/>
        </w:trPr>
        <w:tc>
          <w:tcPr>
            <w:tcW w:w="533" w:type="dxa"/>
            <w:vMerge/>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280" w:lineRule="exact"/>
              <w:rPr>
                <w:rFonts w:ascii="仿宋_GB2312" w:eastAsia="仿宋_GB2312" w:hAnsi="宋体"/>
                <w:color w:val="000000"/>
                <w:sz w:val="24"/>
              </w:rPr>
            </w:pPr>
            <w:r>
              <w:rPr>
                <w:rFonts w:ascii="仿宋_GB2312" w:eastAsia="仿宋_GB2312" w:hint="eastAsia"/>
                <w:color w:val="000000"/>
                <w:sz w:val="24"/>
              </w:rPr>
              <w:t>二级学院组织</w:t>
            </w:r>
            <w:r>
              <w:rPr>
                <w:rFonts w:ascii="仿宋_GB2312" w:eastAsia="仿宋_GB2312" w:hAnsi="宋体" w:hint="eastAsia"/>
                <w:color w:val="000000"/>
                <w:sz w:val="24"/>
              </w:rPr>
              <w:t>学术活动得分：</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eastAsia="仿宋_GB2312"/>
                <w:color w:val="000000"/>
                <w:w w:val="90"/>
                <w:sz w:val="24"/>
              </w:rPr>
            </w:pPr>
            <w:r>
              <w:rPr>
                <w:rFonts w:ascii="仿宋_GB2312" w:eastAsia="仿宋_GB2312" w:hint="eastAsia"/>
                <w:color w:val="000000"/>
                <w:w w:val="90"/>
                <w:sz w:val="24"/>
              </w:rPr>
              <w:t>按照校内外学术活动总体得分绝对数排序，较多为优秀90，一般为良好70，靠后为不合格50。</w:t>
            </w:r>
          </w:p>
        </w:tc>
        <w:tc>
          <w:tcPr>
            <w:tcW w:w="568"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c>
          <w:tcPr>
            <w:tcW w:w="334" w:type="dxa"/>
            <w:vMerge/>
            <w:tcBorders>
              <w:left w:val="single" w:sz="4" w:space="0" w:color="auto"/>
              <w:right w:val="single" w:sz="4" w:space="0" w:color="auto"/>
            </w:tcBorders>
          </w:tcPr>
          <w:p w:rsidR="00A425CB" w:rsidRDefault="00A425CB" w:rsidP="00C15B80">
            <w:pPr>
              <w:spacing w:line="360" w:lineRule="exact"/>
              <w:rPr>
                <w:rFonts w:eastAsia="仿宋_GB2312"/>
                <w:color w:val="000000"/>
                <w:sz w:val="28"/>
                <w:szCs w:val="28"/>
              </w:rPr>
            </w:pPr>
          </w:p>
        </w:tc>
      </w:tr>
      <w:tr w:rsidR="00A425CB" w:rsidTr="00C15B80">
        <w:trPr>
          <w:trHeight w:val="1171"/>
          <w:jc w:val="center"/>
        </w:trPr>
        <w:tc>
          <w:tcPr>
            <w:tcW w:w="533" w:type="dxa"/>
            <w:vMerge w:val="restart"/>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科研任务完成率20</w:t>
            </w:r>
          </w:p>
        </w:tc>
        <w:tc>
          <w:tcPr>
            <w:tcW w:w="1846" w:type="dxa"/>
            <w:tcBorders>
              <w:top w:val="single" w:sz="4" w:space="0" w:color="auto"/>
              <w:left w:val="single" w:sz="4" w:space="0" w:color="auto"/>
              <w:right w:val="single" w:sz="4" w:space="0" w:color="auto"/>
            </w:tcBorders>
            <w:vAlign w:val="center"/>
          </w:tcPr>
          <w:p w:rsidR="00A425CB" w:rsidRDefault="00A425CB" w:rsidP="00C15B80">
            <w:pPr>
              <w:spacing w:line="280" w:lineRule="exact"/>
              <w:rPr>
                <w:rFonts w:ascii="仿宋_GB2312" w:eastAsia="仿宋_GB2312" w:hAnsi="宋体"/>
                <w:color w:val="000000"/>
                <w:sz w:val="24"/>
              </w:rPr>
            </w:pPr>
            <w:r>
              <w:rPr>
                <w:rFonts w:ascii="仿宋_GB2312" w:eastAsia="仿宋_GB2312" w:hint="eastAsia"/>
                <w:color w:val="000000"/>
                <w:sz w:val="24"/>
              </w:rPr>
              <w:t>二级学院科研年度任务的完成率</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color w:val="000000"/>
                <w:w w:val="90"/>
                <w:sz w:val="24"/>
              </w:rPr>
            </w:pPr>
            <w:r>
              <w:rPr>
                <w:rFonts w:ascii="仿宋_GB2312" w:eastAsia="仿宋_GB2312" w:hint="eastAsia"/>
                <w:color w:val="000000"/>
                <w:w w:val="90"/>
                <w:sz w:val="24"/>
              </w:rPr>
              <w:t>二级学院科研年度任务的完成率=科研工作量实际分/科研工作量任务分x100%。</w:t>
            </w:r>
          </w:p>
          <w:p w:rsidR="00A425CB" w:rsidRDefault="00A425CB" w:rsidP="00C15B80">
            <w:pPr>
              <w:spacing w:line="300" w:lineRule="exact"/>
              <w:rPr>
                <w:rFonts w:ascii="仿宋_GB2312" w:eastAsia="仿宋_GB2312" w:hAnsi="宋体"/>
                <w:color w:val="000000"/>
                <w:w w:val="90"/>
                <w:sz w:val="24"/>
              </w:rPr>
            </w:pPr>
            <w:r>
              <w:rPr>
                <w:rFonts w:ascii="仿宋_GB2312" w:eastAsia="仿宋_GB2312" w:hint="eastAsia"/>
                <w:color w:val="000000"/>
                <w:w w:val="90"/>
                <w:sz w:val="24"/>
              </w:rPr>
              <w:t>排序靠前为优秀90，一般为良好70，较差为不合格50。</w:t>
            </w:r>
          </w:p>
        </w:tc>
        <w:tc>
          <w:tcPr>
            <w:tcW w:w="568" w:type="dxa"/>
            <w:tcBorders>
              <w:top w:val="single" w:sz="4" w:space="0" w:color="auto"/>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850" w:type="dxa"/>
            <w:tcBorders>
              <w:top w:val="single" w:sz="4" w:space="0" w:color="auto"/>
              <w:left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top w:val="single" w:sz="4" w:space="0" w:color="auto"/>
              <w:left w:val="single" w:sz="4" w:space="0" w:color="auto"/>
              <w:right w:val="single" w:sz="4" w:space="0" w:color="auto"/>
            </w:tcBorders>
          </w:tcPr>
          <w:p w:rsidR="00A425CB" w:rsidRDefault="00A425CB" w:rsidP="00C15B80">
            <w:pPr>
              <w:spacing w:line="360" w:lineRule="exact"/>
              <w:jc w:val="center"/>
              <w:rPr>
                <w:rFonts w:eastAsia="仿宋_GB2312"/>
                <w:color w:val="000000"/>
                <w:sz w:val="24"/>
              </w:rPr>
            </w:pPr>
          </w:p>
        </w:tc>
        <w:tc>
          <w:tcPr>
            <w:tcW w:w="334" w:type="dxa"/>
            <w:vMerge/>
            <w:tcBorders>
              <w:left w:val="single" w:sz="4" w:space="0" w:color="auto"/>
              <w:right w:val="single" w:sz="4" w:space="0" w:color="auto"/>
            </w:tcBorders>
          </w:tcPr>
          <w:p w:rsidR="00A425CB" w:rsidRDefault="00A425CB" w:rsidP="00C15B80">
            <w:pPr>
              <w:rPr>
                <w:rFonts w:ascii="仿宋_GB2312" w:eastAsia="仿宋_GB2312"/>
                <w:color w:val="000000"/>
                <w:sz w:val="24"/>
              </w:rPr>
            </w:pPr>
          </w:p>
        </w:tc>
      </w:tr>
      <w:tr w:rsidR="00A425CB" w:rsidTr="00C15B80">
        <w:trPr>
          <w:trHeight w:val="1024"/>
          <w:jc w:val="center"/>
        </w:trPr>
        <w:tc>
          <w:tcPr>
            <w:tcW w:w="533" w:type="dxa"/>
            <w:vMerge/>
            <w:tcBorders>
              <w:left w:val="single" w:sz="4" w:space="0" w:color="auto"/>
              <w:right w:val="single" w:sz="4" w:space="0" w:color="auto"/>
            </w:tcBorders>
            <w:vAlign w:val="center"/>
          </w:tcPr>
          <w:p w:rsidR="00A425CB" w:rsidRDefault="00A425CB" w:rsidP="00C15B80">
            <w:pPr>
              <w:widowControl/>
              <w:spacing w:line="360" w:lineRule="exact"/>
              <w:jc w:val="left"/>
              <w:rPr>
                <w:rFonts w:ascii="仿宋_GB2312" w:eastAsia="仿宋_GB2312"/>
                <w:color w:val="000000"/>
                <w:sz w:val="24"/>
              </w:rPr>
            </w:pPr>
          </w:p>
        </w:tc>
        <w:tc>
          <w:tcPr>
            <w:tcW w:w="1846" w:type="dxa"/>
            <w:tcBorders>
              <w:left w:val="single" w:sz="4" w:space="0" w:color="auto"/>
              <w:right w:val="single" w:sz="4" w:space="0" w:color="auto"/>
            </w:tcBorders>
            <w:vAlign w:val="center"/>
          </w:tcPr>
          <w:p w:rsidR="00A425CB" w:rsidRDefault="00A425CB" w:rsidP="00C15B80">
            <w:pPr>
              <w:spacing w:line="280" w:lineRule="exact"/>
              <w:rPr>
                <w:rFonts w:ascii="仿宋_GB2312" w:eastAsia="仿宋_GB2312" w:hAnsi="宋体"/>
                <w:color w:val="000000"/>
                <w:sz w:val="24"/>
              </w:rPr>
            </w:pPr>
            <w:r>
              <w:rPr>
                <w:rFonts w:ascii="仿宋_GB2312" w:eastAsia="仿宋_GB2312" w:hAnsi="宋体" w:hint="eastAsia"/>
                <w:color w:val="000000"/>
                <w:sz w:val="24"/>
              </w:rPr>
              <w:t>二级学院教师科研任务的合格率</w:t>
            </w: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00" w:lineRule="exact"/>
              <w:rPr>
                <w:rFonts w:ascii="仿宋_GB2312" w:eastAsia="仿宋_GB2312" w:hAnsi="宋体"/>
                <w:color w:val="000000"/>
                <w:w w:val="90"/>
                <w:sz w:val="24"/>
              </w:rPr>
            </w:pPr>
            <w:r>
              <w:rPr>
                <w:rFonts w:ascii="仿宋_GB2312" w:eastAsia="仿宋_GB2312" w:hAnsi="宋体" w:hint="eastAsia"/>
                <w:color w:val="000000"/>
                <w:w w:val="90"/>
                <w:sz w:val="24"/>
              </w:rPr>
              <w:t>二级学院教师科研任务的合格率=科研考核合格的教师数/应参与科研考核的教师数X100%。</w:t>
            </w:r>
          </w:p>
          <w:p w:rsidR="00A425CB" w:rsidRDefault="00A425CB" w:rsidP="00C15B80">
            <w:pPr>
              <w:spacing w:line="300" w:lineRule="exact"/>
              <w:rPr>
                <w:rFonts w:ascii="仿宋_GB2312" w:eastAsia="仿宋_GB2312" w:hAnsi="宋体"/>
                <w:color w:val="000000"/>
                <w:w w:val="90"/>
                <w:sz w:val="24"/>
              </w:rPr>
            </w:pPr>
            <w:r>
              <w:rPr>
                <w:rFonts w:ascii="仿宋_GB2312" w:eastAsia="仿宋_GB2312" w:hint="eastAsia"/>
                <w:color w:val="000000"/>
                <w:w w:val="90"/>
                <w:sz w:val="24"/>
              </w:rPr>
              <w:t>排序靠前为优秀90，一般为良好70，较差为不合格50。</w:t>
            </w:r>
          </w:p>
        </w:tc>
        <w:tc>
          <w:tcPr>
            <w:tcW w:w="568" w:type="dxa"/>
            <w:tcBorders>
              <w:left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r>
              <w:rPr>
                <w:rFonts w:ascii="仿宋_GB2312" w:eastAsia="仿宋_GB2312" w:hint="eastAsia"/>
                <w:color w:val="000000"/>
                <w:sz w:val="24"/>
              </w:rPr>
              <w:t>10</w:t>
            </w:r>
          </w:p>
        </w:tc>
        <w:tc>
          <w:tcPr>
            <w:tcW w:w="850" w:type="dxa"/>
            <w:tcBorders>
              <w:left w:val="single" w:sz="4" w:space="0" w:color="auto"/>
              <w:right w:val="single" w:sz="4" w:space="0" w:color="auto"/>
            </w:tcBorders>
          </w:tcPr>
          <w:p w:rsidR="00A425CB" w:rsidRDefault="00A425CB" w:rsidP="00C15B80">
            <w:pPr>
              <w:spacing w:line="360" w:lineRule="exact"/>
              <w:rPr>
                <w:rFonts w:ascii="仿宋_GB2312" w:eastAsia="仿宋_GB2312"/>
                <w:color w:val="000000"/>
                <w:sz w:val="24"/>
              </w:rPr>
            </w:pPr>
          </w:p>
        </w:tc>
        <w:tc>
          <w:tcPr>
            <w:tcW w:w="992" w:type="dxa"/>
            <w:tcBorders>
              <w:left w:val="single" w:sz="4" w:space="0" w:color="auto"/>
              <w:right w:val="single" w:sz="4" w:space="0" w:color="auto"/>
            </w:tcBorders>
          </w:tcPr>
          <w:p w:rsidR="00A425CB" w:rsidRDefault="00A425CB" w:rsidP="00C15B80">
            <w:pPr>
              <w:spacing w:line="360" w:lineRule="exact"/>
              <w:rPr>
                <w:rFonts w:eastAsia="仿宋_GB2312"/>
                <w:color w:val="000000"/>
                <w:sz w:val="24"/>
              </w:rPr>
            </w:pPr>
          </w:p>
        </w:tc>
        <w:tc>
          <w:tcPr>
            <w:tcW w:w="334" w:type="dxa"/>
            <w:vMerge/>
            <w:tcBorders>
              <w:left w:val="single" w:sz="4" w:space="0" w:color="auto"/>
              <w:right w:val="single" w:sz="4" w:space="0" w:color="auto"/>
            </w:tcBorders>
          </w:tcPr>
          <w:p w:rsidR="00A425CB" w:rsidRDefault="00A425CB" w:rsidP="00C15B80">
            <w:pPr>
              <w:spacing w:line="360" w:lineRule="exact"/>
              <w:rPr>
                <w:rFonts w:eastAsia="仿宋_GB2312"/>
                <w:color w:val="000000"/>
                <w:sz w:val="24"/>
              </w:rPr>
            </w:pPr>
          </w:p>
        </w:tc>
      </w:tr>
      <w:tr w:rsidR="00A425CB" w:rsidTr="00C15B80">
        <w:trPr>
          <w:trHeight w:val="513"/>
          <w:jc w:val="center"/>
        </w:trPr>
        <w:tc>
          <w:tcPr>
            <w:tcW w:w="533" w:type="dxa"/>
            <w:tcBorders>
              <w:left w:val="single" w:sz="4" w:space="0" w:color="auto"/>
              <w:bottom w:val="single" w:sz="4" w:space="0" w:color="auto"/>
              <w:right w:val="single" w:sz="4" w:space="0" w:color="auto"/>
            </w:tcBorders>
            <w:vAlign w:val="center"/>
          </w:tcPr>
          <w:p w:rsidR="00A425CB" w:rsidRDefault="00A425CB" w:rsidP="00C15B80">
            <w:pPr>
              <w:widowControl/>
              <w:spacing w:line="360" w:lineRule="exact"/>
              <w:jc w:val="left"/>
              <w:rPr>
                <w:rFonts w:ascii="仿宋_GB2312" w:eastAsia="仿宋_GB2312"/>
                <w:color w:val="000000"/>
                <w:sz w:val="24"/>
              </w:rPr>
            </w:pPr>
          </w:p>
        </w:tc>
        <w:tc>
          <w:tcPr>
            <w:tcW w:w="1846" w:type="dxa"/>
            <w:tcBorders>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568" w:type="dxa"/>
            <w:tcBorders>
              <w:left w:val="single" w:sz="4" w:space="0" w:color="auto"/>
              <w:bottom w:val="single" w:sz="4" w:space="0" w:color="auto"/>
              <w:right w:val="single" w:sz="4" w:space="0" w:color="auto"/>
            </w:tcBorders>
            <w:vAlign w:val="center"/>
          </w:tcPr>
          <w:p w:rsidR="00A425CB" w:rsidRDefault="00A425CB" w:rsidP="00C15B80">
            <w:pPr>
              <w:widowControl/>
              <w:spacing w:line="360" w:lineRule="exact"/>
              <w:jc w:val="left"/>
              <w:rPr>
                <w:rFonts w:eastAsia="仿宋_GB2312"/>
                <w:color w:val="000000"/>
                <w:sz w:val="24"/>
              </w:rPr>
            </w:pPr>
          </w:p>
        </w:tc>
        <w:tc>
          <w:tcPr>
            <w:tcW w:w="850" w:type="dxa"/>
            <w:tcBorders>
              <w:left w:val="single" w:sz="4" w:space="0" w:color="auto"/>
              <w:bottom w:val="single" w:sz="4" w:space="0" w:color="auto"/>
              <w:right w:val="single" w:sz="4" w:space="0" w:color="auto"/>
            </w:tcBorders>
          </w:tcPr>
          <w:p w:rsidR="00A425CB" w:rsidRDefault="00A425CB" w:rsidP="00C15B80">
            <w:pPr>
              <w:spacing w:line="360" w:lineRule="exact"/>
              <w:jc w:val="center"/>
              <w:rPr>
                <w:rFonts w:eastAsia="仿宋_GB2312"/>
                <w:color w:val="000000"/>
                <w:sz w:val="24"/>
              </w:rPr>
            </w:pPr>
            <w:r>
              <w:rPr>
                <w:rFonts w:eastAsia="仿宋_GB2312" w:hint="eastAsia"/>
                <w:color w:val="000000"/>
                <w:sz w:val="24"/>
              </w:rPr>
              <w:t>得分</w:t>
            </w:r>
          </w:p>
        </w:tc>
        <w:tc>
          <w:tcPr>
            <w:tcW w:w="992" w:type="dxa"/>
            <w:tcBorders>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4"/>
              </w:rPr>
            </w:pPr>
          </w:p>
        </w:tc>
        <w:tc>
          <w:tcPr>
            <w:tcW w:w="334" w:type="dxa"/>
            <w:vMerge/>
            <w:tcBorders>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4"/>
              </w:rPr>
            </w:pPr>
          </w:p>
        </w:tc>
      </w:tr>
      <w:tr w:rsidR="00A425CB" w:rsidTr="00C15B80">
        <w:trPr>
          <w:trHeight w:val="563"/>
          <w:jc w:val="center"/>
        </w:trPr>
        <w:tc>
          <w:tcPr>
            <w:tcW w:w="533" w:type="dxa"/>
            <w:tcBorders>
              <w:left w:val="single" w:sz="4" w:space="0" w:color="auto"/>
              <w:bottom w:val="single" w:sz="4" w:space="0" w:color="auto"/>
              <w:right w:val="single" w:sz="4" w:space="0" w:color="auto"/>
            </w:tcBorders>
            <w:vAlign w:val="center"/>
          </w:tcPr>
          <w:p w:rsidR="00A425CB" w:rsidRDefault="00A425CB" w:rsidP="00C15B80">
            <w:pPr>
              <w:widowControl/>
              <w:spacing w:line="360" w:lineRule="exact"/>
              <w:jc w:val="left"/>
              <w:rPr>
                <w:rFonts w:ascii="仿宋_GB2312" w:eastAsia="仿宋_GB2312"/>
                <w:color w:val="000000"/>
                <w:sz w:val="24"/>
              </w:rPr>
            </w:pPr>
          </w:p>
        </w:tc>
        <w:tc>
          <w:tcPr>
            <w:tcW w:w="1846" w:type="dxa"/>
            <w:tcBorders>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3399" w:type="dxa"/>
            <w:tcBorders>
              <w:top w:val="single" w:sz="4" w:space="0" w:color="auto"/>
              <w:left w:val="single" w:sz="4" w:space="0" w:color="auto"/>
              <w:bottom w:val="single" w:sz="4" w:space="0" w:color="auto"/>
              <w:right w:val="single" w:sz="4" w:space="0" w:color="auto"/>
            </w:tcBorders>
            <w:vAlign w:val="center"/>
          </w:tcPr>
          <w:p w:rsidR="00A425CB" w:rsidRDefault="00A425CB" w:rsidP="00C15B80">
            <w:pPr>
              <w:spacing w:line="360" w:lineRule="exact"/>
              <w:rPr>
                <w:rFonts w:ascii="仿宋_GB2312" w:eastAsia="仿宋_GB2312"/>
                <w:color w:val="000000"/>
                <w:sz w:val="24"/>
              </w:rPr>
            </w:pPr>
          </w:p>
        </w:tc>
        <w:tc>
          <w:tcPr>
            <w:tcW w:w="568" w:type="dxa"/>
            <w:tcBorders>
              <w:left w:val="single" w:sz="4" w:space="0" w:color="auto"/>
              <w:bottom w:val="single" w:sz="4" w:space="0" w:color="auto"/>
              <w:right w:val="single" w:sz="4" w:space="0" w:color="auto"/>
            </w:tcBorders>
            <w:vAlign w:val="center"/>
          </w:tcPr>
          <w:p w:rsidR="00A425CB" w:rsidRDefault="00A425CB" w:rsidP="00C15B80">
            <w:pPr>
              <w:widowControl/>
              <w:spacing w:line="360" w:lineRule="exact"/>
              <w:jc w:val="left"/>
              <w:rPr>
                <w:rFonts w:eastAsia="仿宋_GB2312"/>
                <w:color w:val="000000"/>
                <w:sz w:val="24"/>
              </w:rPr>
            </w:pPr>
          </w:p>
        </w:tc>
        <w:tc>
          <w:tcPr>
            <w:tcW w:w="850" w:type="dxa"/>
            <w:tcBorders>
              <w:left w:val="single" w:sz="4" w:space="0" w:color="auto"/>
              <w:bottom w:val="single" w:sz="4" w:space="0" w:color="auto"/>
              <w:right w:val="single" w:sz="4" w:space="0" w:color="auto"/>
            </w:tcBorders>
          </w:tcPr>
          <w:p w:rsidR="00A425CB" w:rsidRDefault="00A425CB" w:rsidP="00C15B80">
            <w:pPr>
              <w:spacing w:line="360" w:lineRule="exact"/>
              <w:jc w:val="center"/>
              <w:rPr>
                <w:rFonts w:eastAsia="仿宋_GB2312"/>
                <w:color w:val="000000"/>
                <w:sz w:val="24"/>
              </w:rPr>
            </w:pPr>
            <w:r>
              <w:rPr>
                <w:rFonts w:eastAsia="仿宋_GB2312" w:hint="eastAsia"/>
                <w:color w:val="000000"/>
                <w:sz w:val="24"/>
              </w:rPr>
              <w:t>排名</w:t>
            </w:r>
          </w:p>
        </w:tc>
        <w:tc>
          <w:tcPr>
            <w:tcW w:w="992" w:type="dxa"/>
            <w:tcBorders>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4"/>
              </w:rPr>
            </w:pPr>
          </w:p>
        </w:tc>
        <w:tc>
          <w:tcPr>
            <w:tcW w:w="334" w:type="dxa"/>
            <w:tcBorders>
              <w:left w:val="single" w:sz="4" w:space="0" w:color="auto"/>
              <w:bottom w:val="single" w:sz="4" w:space="0" w:color="auto"/>
              <w:right w:val="single" w:sz="4" w:space="0" w:color="auto"/>
            </w:tcBorders>
          </w:tcPr>
          <w:p w:rsidR="00A425CB" w:rsidRDefault="00A425CB" w:rsidP="00C15B80">
            <w:pPr>
              <w:spacing w:line="360" w:lineRule="exact"/>
              <w:rPr>
                <w:rFonts w:eastAsia="仿宋_GB2312"/>
                <w:color w:val="000000"/>
                <w:sz w:val="24"/>
              </w:rPr>
            </w:pPr>
          </w:p>
        </w:tc>
      </w:tr>
    </w:tbl>
    <w:p w:rsidR="00A425CB" w:rsidRDefault="00A425CB" w:rsidP="00A425CB"/>
    <w:p w:rsidR="00A425CB" w:rsidRDefault="00A425CB" w:rsidP="00A425CB"/>
    <w:p w:rsidR="00A425CB" w:rsidRDefault="00A425CB" w:rsidP="00A425CB"/>
    <w:p w:rsidR="00001985" w:rsidRDefault="00E50A9B"/>
    <w:sectPr w:rsidR="0000198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5CB"/>
    <w:rsid w:val="001860C5"/>
    <w:rsid w:val="00576A3F"/>
    <w:rsid w:val="008F1830"/>
    <w:rsid w:val="00A425CB"/>
    <w:rsid w:val="00E50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5C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冉晋</dc:creator>
  <cp:lastModifiedBy>冉晋</cp:lastModifiedBy>
  <cp:revision>1</cp:revision>
  <dcterms:created xsi:type="dcterms:W3CDTF">2018-12-19T01:15:00Z</dcterms:created>
  <dcterms:modified xsi:type="dcterms:W3CDTF">2018-12-19T01:16:00Z</dcterms:modified>
</cp:coreProperties>
</file>