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315" w:lineRule="atLeast"/>
        <w:jc w:val="center"/>
        <w:rPr>
          <w:rFonts w:hint="eastAsia" w:ascii="宋体" w:hAnsi="宋体" w:cs="宋体"/>
          <w:color w:val="333333"/>
          <w:sz w:val="44"/>
          <w:szCs w:val="44"/>
          <w:lang w:val="en-US" w:eastAsia="zh-CN" w:bidi="ar"/>
        </w:rPr>
      </w:pPr>
      <w:r>
        <w:rPr>
          <w:rFonts w:hint="eastAsia" w:ascii="宋体" w:hAnsi="宋体" w:cs="宋体"/>
          <w:color w:val="333333"/>
          <w:sz w:val="44"/>
          <w:szCs w:val="44"/>
          <w:lang w:val="en-US" w:eastAsia="zh-CN" w:bidi="ar"/>
        </w:rPr>
        <w:t>湖南财政经济学院关于</w:t>
      </w:r>
    </w:p>
    <w:p>
      <w:pPr>
        <w:pStyle w:val="3"/>
        <w:widowControl/>
        <w:spacing w:beforeAutospacing="0" w:afterAutospacing="0" w:line="315" w:lineRule="atLeast"/>
        <w:jc w:val="center"/>
        <w:rPr>
          <w:rFonts w:hint="eastAsia" w:ascii="宋体" w:hAnsi="宋体" w:cs="宋体"/>
          <w:color w:val="333333"/>
          <w:sz w:val="44"/>
          <w:szCs w:val="44"/>
          <w:lang w:eastAsia="zh-CN" w:bidi="ar"/>
        </w:rPr>
      </w:pPr>
      <w:r>
        <w:rPr>
          <w:rFonts w:hint="eastAsia" w:ascii="宋体" w:hAnsi="宋体" w:cs="宋体"/>
          <w:color w:val="333333"/>
          <w:sz w:val="44"/>
          <w:szCs w:val="44"/>
          <w:lang w:eastAsia="zh-CN" w:bidi="ar"/>
        </w:rPr>
        <w:t>制订</w:t>
      </w:r>
      <w:r>
        <w:rPr>
          <w:rFonts w:hint="eastAsia" w:ascii="宋体" w:hAnsi="宋体" w:cs="宋体"/>
          <w:color w:val="333333"/>
          <w:sz w:val="44"/>
          <w:szCs w:val="44"/>
          <w:lang w:bidi="ar"/>
        </w:rPr>
        <w:t>202</w:t>
      </w:r>
      <w:r>
        <w:rPr>
          <w:rFonts w:hint="eastAsia" w:ascii="宋体" w:hAnsi="宋体" w:cs="宋体"/>
          <w:color w:val="333333"/>
          <w:sz w:val="44"/>
          <w:szCs w:val="44"/>
          <w:lang w:val="en-US" w:eastAsia="zh-CN" w:bidi="ar"/>
        </w:rPr>
        <w:t>2</w:t>
      </w:r>
      <w:r>
        <w:rPr>
          <w:rFonts w:hint="eastAsia" w:ascii="宋体" w:hAnsi="宋体" w:cs="宋体"/>
          <w:color w:val="333333"/>
          <w:sz w:val="44"/>
          <w:szCs w:val="44"/>
          <w:lang w:bidi="ar"/>
        </w:rPr>
        <w:t>版本科人才培养方案的</w:t>
      </w:r>
      <w:r>
        <w:rPr>
          <w:rFonts w:hint="eastAsia" w:ascii="宋体" w:hAnsi="宋体" w:cs="宋体"/>
          <w:color w:val="333333"/>
          <w:sz w:val="44"/>
          <w:szCs w:val="44"/>
          <w:lang w:eastAsia="zh-CN" w:bidi="ar"/>
        </w:rPr>
        <w:t>指导意见</w:t>
      </w:r>
    </w:p>
    <w:p>
      <w:pPr>
        <w:pStyle w:val="3"/>
        <w:widowControl/>
        <w:spacing w:beforeAutospacing="0" w:afterAutospacing="0" w:line="315" w:lineRule="atLeast"/>
        <w:jc w:val="center"/>
        <w:rPr>
          <w:rFonts w:hint="eastAsia" w:ascii="华文楷体" w:hAnsi="华文楷体" w:eastAsia="华文楷体" w:cs="华文楷体"/>
          <w:color w:val="333333"/>
          <w:sz w:val="32"/>
          <w:szCs w:val="32"/>
          <w:lang w:val="en-US" w:eastAsia="zh-CN" w:bidi="ar"/>
        </w:rPr>
      </w:pPr>
      <w:r>
        <w:rPr>
          <w:rFonts w:hint="eastAsia" w:ascii="华文楷体" w:hAnsi="华文楷体" w:eastAsia="华文楷体" w:cs="华文楷体"/>
          <w:color w:val="333333"/>
          <w:sz w:val="32"/>
          <w:szCs w:val="32"/>
          <w:lang w:val="en-US" w:eastAsia="zh-CN" w:bidi="ar"/>
        </w:rPr>
        <w:t>(待审稿)</w:t>
      </w:r>
    </w:p>
    <w:p>
      <w:pPr>
        <w:pStyle w:val="3"/>
        <w:widowControl/>
        <w:spacing w:beforeAutospacing="0" w:afterAutospacing="0" w:line="560" w:lineRule="exact"/>
        <w:ind w:firstLine="640" w:firstLineChars="200"/>
        <w:jc w:val="both"/>
        <w:rPr>
          <w:rFonts w:hint="eastAsia" w:ascii="仿宋_GB2312" w:hAnsi="仿宋" w:eastAsia="仿宋_GB2312" w:cs="Times New Roman"/>
          <w:sz w:val="32"/>
          <w:szCs w:val="32"/>
        </w:rPr>
      </w:pPr>
    </w:p>
    <w:p>
      <w:pPr>
        <w:pStyle w:val="3"/>
        <w:keepNext w:val="0"/>
        <w:keepLines w:val="0"/>
        <w:pageBreakBefore w:val="0"/>
        <w:widowControl/>
        <w:kinsoku/>
        <w:wordWrap/>
        <w:overflowPunct/>
        <w:topLinePunct w:val="0"/>
        <w:bidi w:val="0"/>
        <w:adjustRightInd/>
        <w:snapToGrid/>
        <w:spacing w:beforeAutospacing="0" w:afterAutospacing="0" w:line="540" w:lineRule="exact"/>
        <w:ind w:firstLine="640" w:firstLineChars="200"/>
        <w:jc w:val="both"/>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为深入贯彻落实习近平总书记关于教育的重要论述和全国教育大会、全国高校思想政治工作会议、新时代全国高等学校本科教育工作会议精神，以及《教育部关于加快建设高水平本科教育</w:t>
      </w:r>
      <w:r>
        <w:rPr>
          <w:rFonts w:hint="eastAsia" w:ascii="仿宋_GB2312" w:hAnsi="仿宋" w:eastAsia="仿宋_GB2312" w:cs="Times New Roman"/>
          <w:color w:val="auto"/>
          <w:sz w:val="32"/>
          <w:szCs w:val="32"/>
          <w:lang w:val="en-US" w:eastAsia="zh-CN"/>
        </w:rPr>
        <w:t xml:space="preserve"> </w:t>
      </w:r>
      <w:r>
        <w:rPr>
          <w:rFonts w:hint="eastAsia" w:ascii="仿宋_GB2312" w:hAnsi="仿宋" w:eastAsia="仿宋_GB2312" w:cs="Times New Roman"/>
          <w:color w:val="auto"/>
          <w:sz w:val="32"/>
          <w:szCs w:val="32"/>
        </w:rPr>
        <w:t>全面提高人才培养能力的意见》（教高〔2018〕2 号）</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中共中央、国务院《深化新时代教育评价改革总体方案》等</w:t>
      </w:r>
      <w:r>
        <w:rPr>
          <w:rFonts w:hint="eastAsia" w:ascii="仿宋_GB2312" w:hAnsi="仿宋" w:eastAsia="仿宋_GB2312" w:cs="Times New Roman"/>
          <w:color w:val="auto"/>
          <w:sz w:val="32"/>
          <w:szCs w:val="32"/>
          <w:lang w:eastAsia="zh-CN"/>
        </w:rPr>
        <w:t>一系列</w:t>
      </w:r>
      <w:r>
        <w:rPr>
          <w:rFonts w:hint="eastAsia" w:ascii="仿宋_GB2312" w:hAnsi="仿宋" w:eastAsia="仿宋_GB2312" w:cs="Times New Roman"/>
          <w:color w:val="auto"/>
          <w:sz w:val="32"/>
          <w:szCs w:val="32"/>
        </w:rPr>
        <w:t>文件要求，更好地适应新时代经济社会发展对人才培养的多样化需求，加快构建德智体美劳五育并举的教育体系，坚持“以本为本”，推进“四个回归”，持续提升本科人才培养质量，学校决定</w:t>
      </w:r>
      <w:r>
        <w:rPr>
          <w:rFonts w:hint="eastAsia" w:ascii="仿宋_GB2312" w:hAnsi="仿宋" w:eastAsia="仿宋_GB2312" w:cs="Times New Roman"/>
          <w:color w:val="auto"/>
          <w:sz w:val="32"/>
          <w:szCs w:val="32"/>
          <w:lang w:eastAsia="zh-CN"/>
        </w:rPr>
        <w:t>启动</w:t>
      </w:r>
      <w:r>
        <w:rPr>
          <w:rFonts w:hint="eastAsia" w:ascii="仿宋_GB2312" w:hAnsi="仿宋" w:eastAsia="仿宋_GB2312" w:cs="Times New Roman"/>
          <w:color w:val="auto"/>
          <w:sz w:val="32"/>
          <w:szCs w:val="32"/>
        </w:rPr>
        <w:t>202</w:t>
      </w:r>
      <w:r>
        <w:rPr>
          <w:rFonts w:hint="eastAsia" w:ascii="仿宋_GB2312" w:hAnsi="仿宋" w:eastAsia="仿宋_GB2312" w:cs="Times New Roman"/>
          <w:color w:val="auto"/>
          <w:sz w:val="32"/>
          <w:szCs w:val="32"/>
          <w:lang w:val="en-US" w:eastAsia="zh-CN"/>
        </w:rPr>
        <w:t>2</w:t>
      </w:r>
      <w:r>
        <w:rPr>
          <w:rFonts w:hint="eastAsia" w:ascii="仿宋_GB2312" w:hAnsi="仿宋" w:eastAsia="仿宋_GB2312" w:cs="Times New Roman"/>
          <w:color w:val="auto"/>
          <w:sz w:val="32"/>
          <w:szCs w:val="32"/>
        </w:rPr>
        <w:t>版本科人才培养方案</w:t>
      </w:r>
      <w:r>
        <w:rPr>
          <w:rFonts w:hint="eastAsia" w:ascii="仿宋_GB2312" w:hAnsi="仿宋" w:eastAsia="仿宋_GB2312" w:cs="Times New Roman"/>
          <w:color w:val="auto"/>
          <w:sz w:val="32"/>
          <w:szCs w:val="32"/>
          <w:lang w:eastAsia="zh-CN"/>
        </w:rPr>
        <w:t>制订工作，并提出如下指导意见。</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40" w:firstLineChars="200"/>
        <w:textAlignment w:val="auto"/>
        <w:rPr>
          <w:rStyle w:val="7"/>
          <w:rFonts w:ascii="黑体" w:hAnsi="黑体" w:eastAsia="黑体" w:cs="黑体"/>
          <w:bCs/>
          <w:color w:val="auto"/>
          <w:sz w:val="32"/>
          <w:szCs w:val="32"/>
        </w:rPr>
      </w:pPr>
      <w:r>
        <w:rPr>
          <w:rStyle w:val="7"/>
          <w:rFonts w:hint="eastAsia" w:ascii="黑体" w:hAnsi="黑体" w:eastAsia="黑体" w:cs="黑体"/>
          <w:b w:val="0"/>
          <w:bCs/>
          <w:color w:val="auto"/>
          <w:sz w:val="32"/>
          <w:szCs w:val="32"/>
        </w:rPr>
        <w:t>一、指导思想</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40" w:firstLineChars="200"/>
        <w:jc w:val="both"/>
        <w:textAlignment w:val="auto"/>
        <w:rPr>
          <w:rFonts w:hint="eastAsia" w:ascii="仿宋_GB2312" w:hAnsi="仿宋" w:eastAsia="仿宋_GB2312" w:cs="Times New Roman"/>
          <w:color w:val="auto"/>
          <w:sz w:val="32"/>
          <w:szCs w:val="32"/>
        </w:rPr>
      </w:pPr>
      <w:r>
        <w:rPr>
          <w:rFonts w:hint="eastAsia" w:ascii="仿宋_GB2312" w:hAnsi="仿宋" w:eastAsia="仿宋_GB2312" w:cs="Times New Roman"/>
          <w:color w:val="auto"/>
          <w:sz w:val="32"/>
          <w:szCs w:val="32"/>
        </w:rPr>
        <w:t>以习近平新时代中国特色社会主义思想为指导，全面贯彻党的教育方针，</w:t>
      </w:r>
      <w:r>
        <w:rPr>
          <w:rFonts w:hint="eastAsia" w:ascii="仿宋_GB2312" w:hAnsi="仿宋" w:eastAsia="仿宋_GB2312" w:cs="Times New Roman"/>
          <w:color w:val="auto"/>
          <w:sz w:val="32"/>
          <w:szCs w:val="32"/>
          <w:lang w:eastAsia="zh-CN"/>
        </w:rPr>
        <w:t>落实</w:t>
      </w:r>
      <w:r>
        <w:rPr>
          <w:rFonts w:hint="eastAsia" w:ascii="仿宋_GB2312" w:hAnsi="仿宋" w:eastAsia="仿宋_GB2312" w:cs="Times New Roman"/>
          <w:color w:val="auto"/>
          <w:sz w:val="32"/>
          <w:szCs w:val="32"/>
        </w:rPr>
        <w:t>立德树人根本任务</w:t>
      </w: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color w:val="auto"/>
          <w:sz w:val="32"/>
          <w:szCs w:val="32"/>
        </w:rPr>
        <w:t>以本科专业类教学质量国家标准和专业评估认证标准为依据，主动适应国家战略、社会和区域经济发展对人才的需求，全面审视各专业课程设置对培养目标和毕业要求的支撑度、专业培养方案与经济社会发展和学生发展需求的契合度。</w:t>
      </w:r>
      <w:r>
        <w:rPr>
          <w:rFonts w:hint="eastAsia" w:ascii="仿宋_GB2312" w:hAnsi="仿宋" w:eastAsia="仿宋_GB2312" w:cs="Times New Roman"/>
          <w:color w:val="auto"/>
          <w:sz w:val="32"/>
          <w:szCs w:val="32"/>
          <w:lang w:eastAsia="zh-CN"/>
        </w:rPr>
        <w:t>全面落实教育部“四新”建设要求，打造</w:t>
      </w:r>
      <w:r>
        <w:rPr>
          <w:rFonts w:hint="eastAsia" w:ascii="仿宋_GB2312" w:hAnsi="仿宋" w:eastAsia="仿宋_GB2312" w:cs="Times New Roman"/>
          <w:color w:val="auto"/>
          <w:sz w:val="32"/>
          <w:szCs w:val="32"/>
        </w:rPr>
        <w:t>“新财经”，深入推进人才培养模式创新，优化课程设置，改革教学内容，突出专业特色，强化创新精神和实践能力培养，</w:t>
      </w:r>
      <w:r>
        <w:rPr>
          <w:rFonts w:hint="eastAsia" w:ascii="仿宋_GB2312" w:hAnsi="仿宋" w:eastAsia="仿宋_GB2312" w:cs="Times New Roman"/>
          <w:color w:val="auto"/>
          <w:sz w:val="32"/>
          <w:szCs w:val="32"/>
          <w:lang w:eastAsia="zh-CN"/>
        </w:rPr>
        <w:t>努力</w:t>
      </w:r>
      <w:r>
        <w:rPr>
          <w:rFonts w:hint="eastAsia" w:ascii="仿宋_GB2312" w:hAnsi="仿宋" w:eastAsia="仿宋_GB2312" w:cs="Times New Roman"/>
          <w:color w:val="auto"/>
          <w:sz w:val="32"/>
          <w:szCs w:val="32"/>
        </w:rPr>
        <w:t>构建具有</w:t>
      </w:r>
      <w:r>
        <w:rPr>
          <w:rFonts w:hint="eastAsia" w:ascii="仿宋_GB2312" w:hAnsi="仿宋" w:eastAsia="仿宋_GB2312" w:cs="Times New Roman"/>
          <w:color w:val="auto"/>
          <w:sz w:val="32"/>
          <w:szCs w:val="32"/>
          <w:lang w:eastAsia="zh-CN"/>
        </w:rPr>
        <w:t>鲜明财经</w:t>
      </w:r>
      <w:r>
        <w:rPr>
          <w:rFonts w:hint="eastAsia" w:ascii="仿宋_GB2312" w:hAnsi="仿宋" w:eastAsia="仿宋_GB2312" w:cs="Times New Roman"/>
          <w:color w:val="auto"/>
          <w:sz w:val="32"/>
          <w:szCs w:val="32"/>
        </w:rPr>
        <w:t>特色的人才培养体系。</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40" w:firstLineChars="200"/>
        <w:textAlignment w:val="auto"/>
        <w:rPr>
          <w:rStyle w:val="7"/>
          <w:rFonts w:ascii="黑体" w:hAnsi="黑体" w:eastAsia="黑体" w:cs="黑体"/>
          <w:bCs/>
          <w:color w:val="auto"/>
          <w:sz w:val="32"/>
          <w:szCs w:val="32"/>
        </w:rPr>
      </w:pPr>
      <w:r>
        <w:rPr>
          <w:rStyle w:val="7"/>
          <w:rFonts w:hint="eastAsia" w:ascii="黑体" w:hAnsi="黑体" w:eastAsia="黑体" w:cs="黑体"/>
          <w:b w:val="0"/>
          <w:bCs/>
          <w:color w:val="auto"/>
          <w:sz w:val="32"/>
          <w:szCs w:val="32"/>
          <w:lang w:eastAsia="zh-CN"/>
        </w:rPr>
        <w:t>二</w:t>
      </w:r>
      <w:r>
        <w:rPr>
          <w:rStyle w:val="7"/>
          <w:rFonts w:hint="eastAsia" w:ascii="黑体" w:hAnsi="黑体" w:eastAsia="黑体" w:cs="黑体"/>
          <w:b w:val="0"/>
          <w:bCs/>
          <w:color w:val="auto"/>
          <w:sz w:val="32"/>
          <w:szCs w:val="32"/>
        </w:rPr>
        <w:t>、制定原则</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40" w:firstLineChars="200"/>
        <w:textAlignment w:val="auto"/>
        <w:rPr>
          <w:rFonts w:hint="eastAsia" w:ascii="仿宋_GB2312" w:hAnsi="仿宋" w:eastAsia="仿宋_GB2312" w:cs="Times New Roman"/>
          <w:b/>
          <w:bCs/>
          <w:color w:val="auto"/>
          <w:sz w:val="32"/>
          <w:szCs w:val="32"/>
          <w:lang w:eastAsia="zh-CN"/>
        </w:rPr>
      </w:pPr>
      <w:r>
        <w:rPr>
          <w:rFonts w:hint="eastAsia" w:ascii="仿宋_GB2312" w:hAnsi="仿宋" w:eastAsia="仿宋_GB2312" w:cs="Times New Roman"/>
          <w:color w:val="auto"/>
          <w:sz w:val="32"/>
          <w:szCs w:val="32"/>
          <w:lang w:eastAsia="zh-CN"/>
        </w:rPr>
        <w:t>（</w:t>
      </w:r>
      <w:r>
        <w:rPr>
          <w:rFonts w:hint="eastAsia" w:ascii="仿宋_GB2312" w:hAnsi="仿宋" w:eastAsia="仿宋_GB2312" w:cs="Times New Roman"/>
          <w:b/>
          <w:bCs/>
          <w:color w:val="auto"/>
          <w:sz w:val="32"/>
          <w:szCs w:val="32"/>
          <w:lang w:eastAsia="zh-CN"/>
        </w:rPr>
        <w:t>一）立德树人，价值引领</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40" w:firstLineChars="200"/>
        <w:jc w:val="both"/>
        <w:textAlignment w:val="auto"/>
        <w:rPr>
          <w:rFonts w:hint="eastAsia" w:ascii="仿宋_GB2312" w:hAnsi="仿宋" w:eastAsia="仿宋_GB2312" w:cs="Times New Roman"/>
          <w:color w:val="auto"/>
          <w:sz w:val="32"/>
          <w:szCs w:val="32"/>
          <w:lang w:eastAsia="zh-CN"/>
        </w:rPr>
      </w:pPr>
      <w:r>
        <w:rPr>
          <w:rFonts w:hint="eastAsia" w:ascii="仿宋_GB2312" w:hAnsi="仿宋" w:eastAsia="仿宋_GB2312" w:cs="Times New Roman"/>
          <w:color w:val="auto"/>
          <w:sz w:val="32"/>
          <w:szCs w:val="32"/>
          <w:lang w:eastAsia="zh-CN"/>
        </w:rPr>
        <w:t>坚持立德树人根本任务，紧紧围绕“培养什么人、怎样培养人、为谁培养人”的根本问题，深化“课程思政”内涵建设，探索“专业思政”体系建设。强化价值引领，最大限度发挥课堂教学育人主渠道作用，实现“三全育人”目标。做好顶层设计，把做人做事的基本道理、社会主义核心价值观的要求以及实现民族复兴的理想和责任融入本科人才培养方案，实现思政育人与专业育人同向同行。</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43" w:firstLineChars="200"/>
        <w:textAlignment w:val="auto"/>
        <w:rPr>
          <w:rFonts w:hint="eastAsia" w:ascii="仿宋_GB2312" w:hAnsi="仿宋" w:eastAsia="仿宋_GB2312" w:cs="Times New Roman"/>
          <w:b/>
          <w:bCs/>
          <w:color w:val="auto"/>
          <w:sz w:val="32"/>
          <w:szCs w:val="32"/>
          <w:lang w:eastAsia="zh-CN"/>
        </w:rPr>
      </w:pPr>
      <w:r>
        <w:rPr>
          <w:rFonts w:hint="eastAsia" w:ascii="仿宋_GB2312" w:hAnsi="仿宋" w:eastAsia="仿宋_GB2312" w:cs="Times New Roman"/>
          <w:b/>
          <w:bCs/>
          <w:color w:val="auto"/>
          <w:sz w:val="32"/>
          <w:szCs w:val="32"/>
          <w:lang w:eastAsia="zh-CN"/>
        </w:rPr>
        <w:t>（二）厚植基础，大类培养</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28" w:firstLineChars="200"/>
        <w:jc w:val="both"/>
        <w:textAlignment w:val="auto"/>
        <w:rPr>
          <w:rFonts w:hint="eastAsia" w:ascii="仿宋_GB2312" w:hAnsi="仿宋_GB2312" w:eastAsia="仿宋_GB2312" w:cs="仿宋_GB2312"/>
          <w:color w:val="auto"/>
          <w:spacing w:val="-3"/>
          <w:sz w:val="32"/>
          <w:szCs w:val="32"/>
          <w:lang w:val="zh-CN" w:eastAsia="zh-CN"/>
        </w:rPr>
      </w:pPr>
      <w:r>
        <w:rPr>
          <w:rFonts w:hint="eastAsia" w:ascii="仿宋_GB2312" w:hAnsi="仿宋_GB2312" w:eastAsia="仿宋_GB2312" w:cs="仿宋_GB2312"/>
          <w:color w:val="auto"/>
          <w:spacing w:val="-3"/>
          <w:sz w:val="32"/>
          <w:szCs w:val="32"/>
          <w:lang w:val="zh-CN" w:eastAsia="zh-CN"/>
        </w:rPr>
        <w:t>适应大类招生制度改革，</w:t>
      </w:r>
      <w:r>
        <w:rPr>
          <w:rFonts w:hint="eastAsia" w:ascii="仿宋_GB2312" w:hAnsi="仿宋_GB2312" w:eastAsia="仿宋_GB2312" w:cs="仿宋_GB2312"/>
          <w:color w:val="auto"/>
          <w:spacing w:val="-3"/>
          <w:sz w:val="32"/>
          <w:szCs w:val="32"/>
          <w:lang w:val="en-US" w:eastAsia="zh-CN"/>
        </w:rPr>
        <w:t>原则上</w:t>
      </w:r>
      <w:r>
        <w:rPr>
          <w:rFonts w:hint="eastAsia" w:ascii="仿宋_GB2312" w:hAnsi="仿宋_GB2312" w:eastAsia="仿宋_GB2312" w:cs="仿宋_GB2312"/>
          <w:color w:val="auto"/>
          <w:spacing w:val="-3"/>
          <w:sz w:val="32"/>
          <w:szCs w:val="32"/>
          <w:lang w:val="zh-CN" w:eastAsia="zh-CN"/>
        </w:rPr>
        <w:t>按照“</w:t>
      </w:r>
      <w:r>
        <w:rPr>
          <w:rFonts w:hint="eastAsia" w:ascii="仿宋_GB2312" w:hAnsi="仿宋_GB2312" w:eastAsia="仿宋_GB2312" w:cs="仿宋_GB2312"/>
          <w:color w:val="auto"/>
          <w:spacing w:val="-3"/>
          <w:sz w:val="32"/>
          <w:szCs w:val="32"/>
          <w:lang w:val="en-US" w:eastAsia="zh-CN"/>
        </w:rPr>
        <w:t>2+2</w:t>
      </w:r>
      <w:r>
        <w:rPr>
          <w:rFonts w:hint="eastAsia" w:ascii="仿宋_GB2312" w:hAnsi="仿宋_GB2312" w:eastAsia="仿宋_GB2312" w:cs="仿宋_GB2312"/>
          <w:color w:val="auto"/>
          <w:spacing w:val="-3"/>
          <w:sz w:val="32"/>
          <w:szCs w:val="32"/>
          <w:lang w:val="zh-CN" w:eastAsia="zh-CN"/>
        </w:rPr>
        <w:t>”的模式，</w:t>
      </w:r>
      <w:r>
        <w:rPr>
          <w:rFonts w:hint="eastAsia" w:ascii="仿宋_GB2312" w:hAnsi="仿宋_GB2312" w:eastAsia="仿宋_GB2312" w:cs="仿宋_GB2312"/>
          <w:color w:val="auto"/>
          <w:spacing w:val="-3"/>
          <w:sz w:val="32"/>
          <w:szCs w:val="32"/>
          <w:lang w:val="en-US" w:eastAsia="zh-CN"/>
        </w:rPr>
        <w:t>落实“厚基础、宽口径、强能力、高素质”的人才培养要求。</w:t>
      </w:r>
      <w:r>
        <w:rPr>
          <w:rFonts w:hint="eastAsia" w:ascii="仿宋_GB2312" w:hAnsi="仿宋_GB2312" w:eastAsia="仿宋_GB2312" w:cs="仿宋_GB2312"/>
          <w:color w:val="auto"/>
          <w:spacing w:val="-3"/>
          <w:sz w:val="32"/>
          <w:szCs w:val="32"/>
          <w:lang w:val="zh-CN" w:eastAsia="zh-CN"/>
        </w:rPr>
        <w:t>继续夯实通识教育和学科平台建设，进一步打破学科壁垒，拓宽专业口径，着眼于课程内容的基础性、系统性与先进性，科学重组和有效整合教育教学资源，构建通识教育、学科基础平台教育和专业教育三位一体的有机融合、层次分明、比例协调的教学体系。</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43" w:firstLineChars="200"/>
        <w:textAlignment w:val="auto"/>
        <w:rPr>
          <w:rFonts w:hint="eastAsia" w:ascii="仿宋_GB2312" w:hAnsi="仿宋" w:eastAsia="仿宋_GB2312" w:cs="Times New Roman"/>
          <w:b/>
          <w:bCs/>
          <w:color w:val="auto"/>
          <w:sz w:val="32"/>
          <w:szCs w:val="32"/>
          <w:lang w:val="en-US" w:eastAsia="zh-CN"/>
        </w:rPr>
      </w:pPr>
      <w:r>
        <w:rPr>
          <w:rFonts w:hint="eastAsia" w:ascii="仿宋_GB2312" w:hAnsi="仿宋" w:eastAsia="仿宋_GB2312" w:cs="Times New Roman"/>
          <w:b/>
          <w:bCs/>
          <w:color w:val="auto"/>
          <w:sz w:val="32"/>
          <w:szCs w:val="32"/>
          <w:lang w:val="en-US" w:eastAsia="zh-CN"/>
        </w:rPr>
        <w:t>（三）多元供给，个性选择</w:t>
      </w:r>
    </w:p>
    <w:p>
      <w:pPr>
        <w:pStyle w:val="2"/>
        <w:keepNext w:val="0"/>
        <w:keepLines w:val="0"/>
        <w:pageBreakBefore w:val="0"/>
        <w:widowControl w:val="0"/>
        <w:kinsoku/>
        <w:wordWrap/>
        <w:overflowPunct/>
        <w:topLinePunct w:val="0"/>
        <w:autoSpaceDE w:val="0"/>
        <w:autoSpaceDN w:val="0"/>
        <w:bidi w:val="0"/>
        <w:adjustRightInd/>
        <w:snapToGrid/>
        <w:spacing w:before="0" w:line="540" w:lineRule="exact"/>
        <w:ind w:left="0" w:right="0" w:firstLine="628" w:firstLineChars="200"/>
        <w:jc w:val="both"/>
        <w:textAlignment w:val="auto"/>
        <w:rPr>
          <w:rFonts w:hint="eastAsia" w:ascii="仿宋_GB2312" w:hAnsi="仿宋_GB2312" w:eastAsia="仿宋_GB2312" w:cs="仿宋_GB2312"/>
          <w:color w:val="auto"/>
          <w:spacing w:val="-3"/>
          <w:sz w:val="32"/>
          <w:szCs w:val="32"/>
          <w:lang w:val="zh-CN" w:eastAsia="zh-CN"/>
        </w:rPr>
      </w:pPr>
      <w:r>
        <w:rPr>
          <w:rFonts w:hint="eastAsia" w:ascii="仿宋_GB2312" w:hAnsi="仿宋_GB2312" w:eastAsia="仿宋_GB2312" w:cs="仿宋_GB2312"/>
          <w:color w:val="auto"/>
          <w:spacing w:val="-3"/>
          <w:sz w:val="32"/>
          <w:szCs w:val="32"/>
          <w:lang w:val="zh-CN" w:eastAsia="zh-CN"/>
        </w:rPr>
        <w:t>主动适应区域经济发展和行业产业转型升级，满足多元化人才需求，实施多样化人才培养模式。</w:t>
      </w:r>
      <w:r>
        <w:rPr>
          <w:rFonts w:hint="default" w:ascii="仿宋_GB2312" w:hAnsi="仿宋" w:eastAsia="仿宋_GB2312" w:cs="Times New Roman"/>
          <w:color w:val="auto"/>
          <w:sz w:val="32"/>
          <w:szCs w:val="32"/>
          <w:lang w:val="en-US" w:eastAsia="zh-CN"/>
        </w:rPr>
        <w:t>鼓励开设更多</w:t>
      </w:r>
      <w:r>
        <w:rPr>
          <w:rFonts w:hint="eastAsia" w:ascii="仿宋_GB2312" w:hAnsi="仿宋" w:eastAsia="仿宋_GB2312" w:cs="Times New Roman"/>
          <w:color w:val="auto"/>
          <w:sz w:val="32"/>
          <w:szCs w:val="32"/>
          <w:lang w:val="en-US" w:eastAsia="zh-CN"/>
        </w:rPr>
        <w:t>通识教育课程和</w:t>
      </w:r>
      <w:r>
        <w:rPr>
          <w:rFonts w:hint="default" w:ascii="仿宋_GB2312" w:hAnsi="仿宋" w:eastAsia="仿宋_GB2312" w:cs="Times New Roman"/>
          <w:color w:val="auto"/>
          <w:sz w:val="32"/>
          <w:szCs w:val="32"/>
          <w:lang w:val="en-US" w:eastAsia="zh-CN"/>
        </w:rPr>
        <w:t>专业课程供学生个性化选择</w:t>
      </w:r>
      <w:r>
        <w:rPr>
          <w:rFonts w:hint="eastAsia" w:ascii="仿宋_GB2312" w:hAnsi="仿宋" w:eastAsia="仿宋_GB2312" w:cs="Times New Roman"/>
          <w:color w:val="auto"/>
          <w:sz w:val="32"/>
          <w:szCs w:val="32"/>
          <w:lang w:val="en-US" w:eastAsia="zh-CN"/>
        </w:rPr>
        <w:t>，进一步</w:t>
      </w:r>
      <w:r>
        <w:rPr>
          <w:rFonts w:hint="default" w:ascii="仿宋_GB2312" w:hAnsi="仿宋" w:eastAsia="仿宋_GB2312" w:cs="Times New Roman"/>
          <w:color w:val="auto"/>
          <w:sz w:val="32"/>
          <w:szCs w:val="32"/>
          <w:lang w:val="en-US" w:eastAsia="zh-CN"/>
        </w:rPr>
        <w:t>扩大学生学习自主权</w:t>
      </w:r>
      <w:r>
        <w:rPr>
          <w:rFonts w:hint="eastAsia" w:ascii="仿宋_GB2312" w:hAnsi="仿宋" w:eastAsia="仿宋_GB2312" w:cs="Times New Roman"/>
          <w:color w:val="auto"/>
          <w:sz w:val="32"/>
          <w:szCs w:val="32"/>
          <w:lang w:val="en-US" w:eastAsia="zh-CN"/>
        </w:rPr>
        <w:t>；</w:t>
      </w:r>
      <w:r>
        <w:rPr>
          <w:rFonts w:hint="eastAsia" w:ascii="仿宋_GB2312" w:hAnsi="仿宋_GB2312" w:eastAsia="仿宋_GB2312" w:cs="仿宋_GB2312"/>
          <w:color w:val="auto"/>
          <w:spacing w:val="-3"/>
          <w:sz w:val="32"/>
          <w:szCs w:val="32"/>
          <w:lang w:val="zh-CN" w:eastAsia="zh-CN"/>
        </w:rPr>
        <w:t>通过优化课程设置与课程体系，设置专业方向模块化课程，为学生自主学习、研修和创新创业</w:t>
      </w:r>
      <w:r>
        <w:rPr>
          <w:rFonts w:hint="eastAsia" w:ascii="仿宋_GB2312" w:hAnsi="仿宋_GB2312" w:eastAsia="仿宋_GB2312" w:cs="仿宋_GB2312"/>
          <w:color w:val="auto"/>
          <w:spacing w:val="-3"/>
          <w:sz w:val="32"/>
          <w:szCs w:val="32"/>
          <w:lang w:val="en-US" w:eastAsia="zh-CN"/>
        </w:rPr>
        <w:t>提供</w:t>
      </w:r>
      <w:r>
        <w:rPr>
          <w:rFonts w:hint="eastAsia" w:ascii="仿宋_GB2312" w:hAnsi="仿宋_GB2312" w:eastAsia="仿宋_GB2312" w:cs="仿宋_GB2312"/>
          <w:color w:val="auto"/>
          <w:spacing w:val="-3"/>
          <w:sz w:val="32"/>
          <w:szCs w:val="32"/>
          <w:lang w:val="zh-CN" w:eastAsia="zh-CN"/>
        </w:rPr>
        <w:t>条件；按照教育部“六卓越一拔尖”计划 2.0 要求，依托学校厚生实验班教学改革和第三学期制的实施，完善卓越人才培养体系。</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43" w:firstLineChars="200"/>
        <w:textAlignment w:val="auto"/>
        <w:rPr>
          <w:rFonts w:hint="default" w:ascii="仿宋_GB2312" w:hAnsi="仿宋" w:eastAsia="仿宋_GB2312" w:cs="Times New Roman"/>
          <w:b/>
          <w:bCs/>
          <w:color w:val="auto"/>
          <w:sz w:val="32"/>
          <w:szCs w:val="32"/>
          <w:lang w:val="en-US" w:eastAsia="zh-CN"/>
        </w:rPr>
      </w:pPr>
      <w:r>
        <w:rPr>
          <w:rFonts w:hint="default" w:ascii="仿宋_GB2312" w:hAnsi="仿宋" w:eastAsia="仿宋_GB2312" w:cs="Times New Roman"/>
          <w:b/>
          <w:bCs/>
          <w:color w:val="auto"/>
          <w:sz w:val="32"/>
          <w:szCs w:val="32"/>
          <w:lang w:val="en-US" w:eastAsia="zh-CN"/>
        </w:rPr>
        <w:t>（四）产出导向，鼓励创新</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28" w:firstLineChars="200"/>
        <w:textAlignment w:val="auto"/>
        <w:rPr>
          <w:rFonts w:hint="default" w:ascii="仿宋_GB2312" w:hAnsi="仿宋_GB2312" w:eastAsia="仿宋_GB2312" w:cs="仿宋_GB2312"/>
          <w:color w:val="auto"/>
          <w:spacing w:val="-3"/>
          <w:kern w:val="2"/>
          <w:sz w:val="32"/>
          <w:szCs w:val="32"/>
          <w:lang w:val="en-US" w:eastAsia="zh-CN" w:bidi="zh-CN"/>
        </w:rPr>
      </w:pPr>
      <w:r>
        <w:rPr>
          <w:rFonts w:hint="default" w:ascii="仿宋_GB2312" w:hAnsi="仿宋_GB2312" w:eastAsia="仿宋_GB2312" w:cs="仿宋_GB2312"/>
          <w:color w:val="auto"/>
          <w:spacing w:val="-3"/>
          <w:kern w:val="2"/>
          <w:sz w:val="32"/>
          <w:szCs w:val="32"/>
          <w:lang w:val="en-US" w:eastAsia="zh-CN" w:bidi="zh-CN"/>
        </w:rPr>
        <w:t>构建基于学习成果导向（OBE Outcomes based Education）</w:t>
      </w:r>
    </w:p>
    <w:p>
      <w:pPr>
        <w:pStyle w:val="3"/>
        <w:keepNext w:val="0"/>
        <w:keepLines w:val="0"/>
        <w:pageBreakBefore w:val="0"/>
        <w:widowControl/>
        <w:kinsoku/>
        <w:wordWrap/>
        <w:overflowPunct/>
        <w:topLinePunct w:val="0"/>
        <w:bidi w:val="0"/>
        <w:adjustRightInd/>
        <w:snapToGrid/>
        <w:spacing w:beforeAutospacing="0" w:afterAutospacing="0" w:line="540" w:lineRule="exact"/>
        <w:jc w:val="both"/>
        <w:textAlignment w:val="auto"/>
        <w:rPr>
          <w:rFonts w:hint="default" w:ascii="仿宋_GB2312" w:hAnsi="仿宋_GB2312" w:eastAsia="仿宋_GB2312" w:cs="仿宋_GB2312"/>
          <w:color w:val="auto"/>
          <w:spacing w:val="-3"/>
          <w:kern w:val="2"/>
          <w:sz w:val="32"/>
          <w:szCs w:val="32"/>
          <w:lang w:val="en-US" w:eastAsia="zh-CN" w:bidi="zh-CN"/>
        </w:rPr>
      </w:pPr>
      <w:r>
        <w:rPr>
          <w:rFonts w:hint="default" w:ascii="仿宋_GB2312" w:hAnsi="仿宋_GB2312" w:eastAsia="仿宋_GB2312" w:cs="仿宋_GB2312"/>
          <w:color w:val="auto"/>
          <w:spacing w:val="-3"/>
          <w:kern w:val="2"/>
          <w:sz w:val="32"/>
          <w:szCs w:val="32"/>
          <w:lang w:val="en-US" w:eastAsia="zh-CN" w:bidi="zh-CN"/>
        </w:rPr>
        <w:t>的“以学生为中心、产出导向、持续改进”的教育理念</w:t>
      </w:r>
      <w:r>
        <w:rPr>
          <w:rFonts w:hint="eastAsia" w:ascii="仿宋_GB2312" w:hAnsi="仿宋_GB2312" w:eastAsia="仿宋_GB2312" w:cs="仿宋_GB2312"/>
          <w:color w:val="auto"/>
          <w:spacing w:val="-3"/>
          <w:kern w:val="2"/>
          <w:sz w:val="32"/>
          <w:szCs w:val="32"/>
          <w:lang w:val="en-US" w:eastAsia="zh-CN" w:bidi="zh-CN"/>
        </w:rPr>
        <w:t>，</w:t>
      </w:r>
      <w:r>
        <w:rPr>
          <w:rFonts w:hint="eastAsia" w:ascii="仿宋_GB2312" w:hAnsi="仿宋_GB2312" w:eastAsia="仿宋_GB2312" w:cs="仿宋_GB2312"/>
          <w:color w:val="auto"/>
          <w:spacing w:val="-3"/>
          <w:kern w:val="2"/>
          <w:sz w:val="32"/>
          <w:szCs w:val="32"/>
          <w:lang w:val="zh-CN" w:eastAsia="zh-CN" w:bidi="zh-CN"/>
        </w:rPr>
        <w:t>充分尊重学生成长规律，全面调研学生的学习特点和心理需求，认真听取学生和用人单位的意见反馈，并对接区域经济社会发展与行业需求，</w:t>
      </w:r>
      <w:r>
        <w:rPr>
          <w:rFonts w:hint="default" w:ascii="仿宋_GB2312" w:hAnsi="仿宋_GB2312" w:eastAsia="仿宋_GB2312" w:cs="仿宋_GB2312"/>
          <w:color w:val="auto"/>
          <w:spacing w:val="-3"/>
          <w:kern w:val="2"/>
          <w:sz w:val="32"/>
          <w:szCs w:val="32"/>
          <w:lang w:val="en-US" w:eastAsia="zh-CN" w:bidi="zh-CN"/>
        </w:rPr>
        <w:t>对未来 5-10年人才所需知识结构与综合素质进行科学前瞻，反向设计，</w:t>
      </w:r>
      <w:r>
        <w:rPr>
          <w:rFonts w:hint="eastAsia" w:ascii="仿宋_GB2312" w:hAnsi="仿宋_GB2312" w:eastAsia="仿宋_GB2312" w:cs="仿宋_GB2312"/>
          <w:color w:val="auto"/>
          <w:spacing w:val="-3"/>
          <w:kern w:val="2"/>
          <w:sz w:val="32"/>
          <w:szCs w:val="32"/>
          <w:lang w:val="zh-CN" w:eastAsia="zh-CN" w:bidi="zh-CN"/>
        </w:rPr>
        <w:t>构建基于信息化时代的以“学”为中心的课程教学体系和基于学习成果导向的教学评价体系。</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43" w:firstLineChars="200"/>
        <w:textAlignment w:val="auto"/>
        <w:rPr>
          <w:rFonts w:hint="default" w:ascii="仿宋_GB2312" w:hAnsi="仿宋" w:eastAsia="仿宋_GB2312" w:cs="Times New Roman"/>
          <w:b/>
          <w:bCs/>
          <w:color w:val="auto"/>
          <w:sz w:val="32"/>
          <w:szCs w:val="32"/>
          <w:lang w:val="en-US" w:eastAsia="zh-CN"/>
        </w:rPr>
      </w:pPr>
      <w:r>
        <w:rPr>
          <w:rFonts w:hint="default" w:ascii="仿宋_GB2312" w:hAnsi="仿宋" w:eastAsia="仿宋_GB2312" w:cs="Times New Roman"/>
          <w:b/>
          <w:bCs/>
          <w:color w:val="auto"/>
          <w:sz w:val="32"/>
          <w:szCs w:val="32"/>
          <w:lang w:val="en-US" w:eastAsia="zh-CN"/>
        </w:rPr>
        <w:t>（</w:t>
      </w:r>
      <w:r>
        <w:rPr>
          <w:rFonts w:hint="eastAsia" w:ascii="仿宋_GB2312" w:hAnsi="仿宋" w:eastAsia="仿宋_GB2312" w:cs="Times New Roman"/>
          <w:b/>
          <w:bCs/>
          <w:color w:val="auto"/>
          <w:sz w:val="32"/>
          <w:szCs w:val="32"/>
          <w:lang w:val="en-US" w:eastAsia="zh-CN"/>
        </w:rPr>
        <w:t>五</w:t>
      </w:r>
      <w:r>
        <w:rPr>
          <w:rFonts w:hint="default" w:ascii="仿宋_GB2312" w:hAnsi="仿宋" w:eastAsia="仿宋_GB2312" w:cs="Times New Roman"/>
          <w:b/>
          <w:bCs/>
          <w:color w:val="auto"/>
          <w:sz w:val="32"/>
          <w:szCs w:val="32"/>
          <w:lang w:val="en-US" w:eastAsia="zh-CN"/>
        </w:rPr>
        <w:t>）</w:t>
      </w:r>
      <w:r>
        <w:rPr>
          <w:rFonts w:hint="eastAsia" w:ascii="仿宋_GB2312" w:hAnsi="仿宋" w:eastAsia="仿宋_GB2312" w:cs="Times New Roman"/>
          <w:b/>
          <w:bCs/>
          <w:color w:val="auto"/>
          <w:sz w:val="32"/>
          <w:szCs w:val="32"/>
          <w:lang w:val="en-US" w:eastAsia="zh-CN"/>
        </w:rPr>
        <w:t>体系</w:t>
      </w:r>
      <w:r>
        <w:rPr>
          <w:rFonts w:hint="default" w:ascii="仿宋_GB2312" w:hAnsi="仿宋" w:eastAsia="仿宋_GB2312" w:cs="Times New Roman"/>
          <w:b/>
          <w:bCs/>
          <w:color w:val="auto"/>
          <w:sz w:val="32"/>
          <w:szCs w:val="32"/>
          <w:lang w:val="en-US" w:eastAsia="zh-CN"/>
        </w:rPr>
        <w:t>优化</w:t>
      </w:r>
      <w:r>
        <w:rPr>
          <w:rFonts w:hint="eastAsia" w:ascii="仿宋_GB2312" w:hAnsi="仿宋" w:eastAsia="仿宋_GB2312" w:cs="Times New Roman"/>
          <w:b/>
          <w:bCs/>
          <w:color w:val="auto"/>
          <w:sz w:val="32"/>
          <w:szCs w:val="32"/>
          <w:lang w:val="en-US" w:eastAsia="zh-CN"/>
        </w:rPr>
        <w:t>，突出</w:t>
      </w:r>
      <w:r>
        <w:rPr>
          <w:rFonts w:hint="default" w:ascii="仿宋_GB2312" w:hAnsi="仿宋" w:eastAsia="仿宋_GB2312" w:cs="Times New Roman"/>
          <w:b/>
          <w:bCs/>
          <w:color w:val="auto"/>
          <w:sz w:val="32"/>
          <w:szCs w:val="32"/>
          <w:lang w:val="en-US" w:eastAsia="zh-CN"/>
        </w:rPr>
        <w:t>综合</w:t>
      </w:r>
    </w:p>
    <w:p>
      <w:pPr>
        <w:pStyle w:val="3"/>
        <w:keepNext w:val="0"/>
        <w:keepLines w:val="0"/>
        <w:pageBreakBefore w:val="0"/>
        <w:widowControl/>
        <w:kinsoku/>
        <w:wordWrap/>
        <w:overflowPunct/>
        <w:topLinePunct w:val="0"/>
        <w:bidi w:val="0"/>
        <w:adjustRightInd/>
        <w:snapToGrid/>
        <w:spacing w:beforeAutospacing="0" w:afterAutospacing="0" w:line="540" w:lineRule="exact"/>
        <w:ind w:firstLine="640" w:firstLineChars="200"/>
        <w:textAlignment w:val="auto"/>
        <w:rPr>
          <w:rFonts w:hint="default" w:ascii="仿宋_GB2312" w:hAnsi="仿宋" w:eastAsia="仿宋_GB2312" w:cs="Times New Roman"/>
          <w:color w:val="auto"/>
          <w:sz w:val="32"/>
          <w:szCs w:val="32"/>
          <w:lang w:val="en-US" w:eastAsia="zh-CN"/>
        </w:rPr>
      </w:pPr>
      <w:r>
        <w:rPr>
          <w:rFonts w:hint="default" w:ascii="仿宋_GB2312" w:hAnsi="仿宋" w:eastAsia="仿宋_GB2312" w:cs="Times New Roman"/>
          <w:color w:val="auto"/>
          <w:sz w:val="32"/>
          <w:szCs w:val="32"/>
          <w:lang w:val="en-US" w:eastAsia="zh-CN"/>
        </w:rPr>
        <w:t>按照知识、能力、素质结构的内在联系和教育教学规律，对应培养要求和培养规格，合理确定各类课程在人才培养计划中的比例，整体优化课程体系，形成课程设置先行后续关系恰当、教学内容前后衔接、知识结构科学合理的课程体系。</w:t>
      </w:r>
      <w:r>
        <w:rPr>
          <w:rFonts w:hint="eastAsia" w:ascii="仿宋_GB2312" w:hAnsi="仿宋" w:eastAsia="仿宋_GB2312" w:cs="Times New Roman"/>
          <w:color w:val="auto"/>
          <w:sz w:val="32"/>
          <w:szCs w:val="32"/>
          <w:lang w:val="en-US" w:eastAsia="zh-CN"/>
        </w:rPr>
        <w:t>同时，</w:t>
      </w:r>
      <w:r>
        <w:rPr>
          <w:rFonts w:hint="default" w:ascii="仿宋_GB2312" w:hAnsi="仿宋" w:eastAsia="仿宋_GB2312" w:cs="Times New Roman"/>
          <w:color w:val="auto"/>
          <w:sz w:val="32"/>
          <w:szCs w:val="32"/>
          <w:lang w:val="en-US" w:eastAsia="zh-CN"/>
        </w:rPr>
        <w:t>加大课程的整合力度，</w:t>
      </w:r>
      <w:r>
        <w:rPr>
          <w:rFonts w:hint="eastAsia" w:ascii="仿宋_GB2312" w:hAnsi="仿宋" w:eastAsia="仿宋_GB2312" w:cs="Times New Roman"/>
          <w:color w:val="auto"/>
          <w:sz w:val="32"/>
          <w:szCs w:val="32"/>
          <w:lang w:val="en-US" w:eastAsia="zh-CN"/>
        </w:rPr>
        <w:t>减少陈旧性课程学时，</w:t>
      </w:r>
      <w:r>
        <w:rPr>
          <w:rFonts w:hint="default" w:ascii="仿宋_GB2312" w:hAnsi="仿宋" w:eastAsia="仿宋_GB2312" w:cs="Times New Roman"/>
          <w:color w:val="auto"/>
          <w:sz w:val="32"/>
          <w:szCs w:val="32"/>
          <w:lang w:val="en-US" w:eastAsia="zh-CN"/>
        </w:rPr>
        <w:t>提高课程的综合化程度，</w:t>
      </w:r>
      <w:r>
        <w:rPr>
          <w:rFonts w:hint="eastAsia" w:ascii="仿宋_GB2312" w:hAnsi="仿宋" w:eastAsia="仿宋_GB2312" w:cs="Times New Roman"/>
          <w:color w:val="auto"/>
          <w:sz w:val="32"/>
          <w:szCs w:val="32"/>
          <w:lang w:val="en-US" w:eastAsia="zh-CN"/>
        </w:rPr>
        <w:t>坚决杜绝因人设课和重复设课现象发生。</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、培养目标与培养</w:t>
      </w:r>
      <w:r>
        <w:rPr>
          <w:rFonts w:hint="eastAsia" w:ascii="黑体" w:hAnsi="黑体" w:eastAsia="黑体" w:cs="黑体"/>
          <w:color w:val="000000" w:themeColor="text1"/>
          <w:sz w:val="32"/>
          <w:szCs w:val="32"/>
          <w:lang w:eastAsia="zh-CN"/>
          <w14:textFill>
            <w14:solidFill>
              <w14:schemeClr w14:val="tx1"/>
            </w14:solidFill>
          </w14:textFill>
        </w:rPr>
        <w:t>要求</w:t>
      </w:r>
    </w:p>
    <w:p>
      <w:pPr>
        <w:keepNext w:val="0"/>
        <w:keepLines w:val="0"/>
        <w:pageBreakBefore w:val="0"/>
        <w:kinsoku/>
        <w:wordWrap/>
        <w:overflowPunct/>
        <w:topLinePunct w:val="0"/>
        <w:bidi w:val="0"/>
        <w:adjustRightInd/>
        <w:snapToGrid/>
        <w:spacing w:line="540" w:lineRule="exact"/>
        <w:ind w:firstLine="643" w:firstLineChars="200"/>
        <w:textAlignment w:val="auto"/>
        <w:rPr>
          <w:rFonts w:hint="eastAsia" w:ascii="仿宋_GB2312" w:hAnsi="仿宋" w:eastAsia="仿宋_GB2312" w:cs="Times New Roman"/>
          <w:b/>
          <w:bCs/>
          <w:kern w:val="0"/>
          <w:sz w:val="32"/>
          <w:szCs w:val="32"/>
          <w:lang w:val="en-US" w:eastAsia="zh-CN" w:bidi="ar-SA"/>
        </w:rPr>
      </w:pPr>
      <w:r>
        <w:rPr>
          <w:rFonts w:hint="eastAsia" w:ascii="仿宋_GB2312" w:hAnsi="仿宋" w:eastAsia="仿宋_GB2312" w:cs="Times New Roman"/>
          <w:b/>
          <w:bCs/>
          <w:color w:val="auto"/>
          <w:kern w:val="0"/>
          <w:sz w:val="32"/>
          <w:szCs w:val="32"/>
          <w:lang w:val="en-US" w:eastAsia="zh-CN" w:bidi="ar-SA"/>
        </w:rPr>
        <w:t>（一）培养目标</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学校人才培养目标的总目标是</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坚持立足湖南、服务地方、面向世界，贯彻“厚基础、强能力、高素质”的人才培养方针，培养基础扎实，创新意识和实践能力较强，德智体美劳全面发展的高素质应用型人才。</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专业培养目标</w:t>
      </w:r>
      <w:r>
        <w:rPr>
          <w:rFonts w:hint="eastAsia" w:ascii="仿宋" w:hAnsi="仿宋" w:eastAsia="仿宋" w:cs="仿宋"/>
          <w:color w:val="auto"/>
          <w:sz w:val="32"/>
          <w:szCs w:val="32"/>
          <w:lang w:eastAsia="zh-CN"/>
        </w:rPr>
        <w:t>是对该专业毕业生在毕业</w:t>
      </w:r>
      <w:r>
        <w:rPr>
          <w:rFonts w:hint="eastAsia" w:ascii="仿宋" w:hAnsi="仿宋" w:eastAsia="仿宋" w:cs="仿宋"/>
          <w:color w:val="auto"/>
          <w:sz w:val="32"/>
          <w:szCs w:val="32"/>
        </w:rPr>
        <w:t>后5年左右</w:t>
      </w:r>
      <w:r>
        <w:rPr>
          <w:rFonts w:hint="eastAsia" w:ascii="仿宋" w:hAnsi="仿宋" w:eastAsia="仿宋" w:cs="仿宋"/>
          <w:color w:val="auto"/>
          <w:sz w:val="32"/>
          <w:szCs w:val="32"/>
          <w:lang w:eastAsia="zh-CN"/>
        </w:rPr>
        <w:t>能够达到的职业和专业成就的总体描述，能说明学生毕业</w:t>
      </w:r>
      <w:r>
        <w:rPr>
          <w:rFonts w:hint="eastAsia" w:ascii="仿宋" w:hAnsi="仿宋" w:eastAsia="仿宋" w:cs="仿宋"/>
          <w:color w:val="auto"/>
          <w:sz w:val="32"/>
          <w:szCs w:val="32"/>
          <w:lang w:val="en-US" w:eastAsia="zh-CN"/>
        </w:rPr>
        <w:t>5年左右从业的专业领域、职业特征和所具备的专业能力。</w:t>
      </w:r>
      <w:r>
        <w:rPr>
          <w:rFonts w:hint="eastAsia" w:ascii="仿宋" w:hAnsi="仿宋" w:eastAsia="仿宋" w:cs="仿宋"/>
          <w:color w:val="000000" w:themeColor="text1"/>
          <w:sz w:val="32"/>
          <w:szCs w:val="32"/>
          <w14:textFill>
            <w14:solidFill>
              <w14:schemeClr w14:val="tx1"/>
            </w14:solidFill>
          </w14:textFill>
        </w:rPr>
        <w:t>各专业要根据学校人才培养总目标，在充分调研毕业生、用人单位反馈和社会需求状况、学科专业支撑情况的基础上，结合国家本科专业类质量标准和专业认证标准，确立本专业不同面向的培养目标。</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培养目标内容包含知识、素质和能力三个方面，表述应明确、具体、可测，体现本专业的传统、优势和特色。</w:t>
      </w:r>
    </w:p>
    <w:p>
      <w:pPr>
        <w:keepNext w:val="0"/>
        <w:keepLines w:val="0"/>
        <w:pageBreakBefore w:val="0"/>
        <w:kinsoku/>
        <w:wordWrap/>
        <w:overflowPunct/>
        <w:topLinePunct w:val="0"/>
        <w:bidi w:val="0"/>
        <w:adjustRightInd/>
        <w:snapToGrid/>
        <w:spacing w:line="540" w:lineRule="exact"/>
        <w:ind w:firstLine="643" w:firstLineChars="200"/>
        <w:textAlignment w:val="auto"/>
        <w:rPr>
          <w:rFonts w:hint="eastAsia" w:ascii="仿宋_GB2312" w:hAnsi="仿宋" w:eastAsia="仿宋_GB2312" w:cs="Times New Roman"/>
          <w:b/>
          <w:bCs/>
          <w:kern w:val="0"/>
          <w:sz w:val="32"/>
          <w:szCs w:val="32"/>
          <w:lang w:val="en-US" w:eastAsia="zh-CN" w:bidi="ar-SA"/>
        </w:rPr>
      </w:pPr>
      <w:r>
        <w:rPr>
          <w:rFonts w:hint="eastAsia" w:ascii="仿宋_GB2312" w:hAnsi="仿宋" w:eastAsia="仿宋_GB2312" w:cs="Times New Roman"/>
          <w:b/>
          <w:bCs/>
          <w:kern w:val="0"/>
          <w:sz w:val="32"/>
          <w:szCs w:val="32"/>
          <w:lang w:val="en-US" w:eastAsia="zh-CN" w:bidi="ar-SA"/>
        </w:rPr>
        <w:t>（二）培养要求</w:t>
      </w:r>
    </w:p>
    <w:p>
      <w:pPr>
        <w:keepNext w:val="0"/>
        <w:keepLines w:val="0"/>
        <w:pageBreakBefore w:val="0"/>
        <w:kinsoku/>
        <w:wordWrap/>
        <w:overflowPunct/>
        <w:topLinePunct w:val="0"/>
        <w:bidi w:val="0"/>
        <w:adjustRightInd/>
        <w:snapToGrid/>
        <w:spacing w:line="540" w:lineRule="exact"/>
        <w:ind w:firstLine="640" w:firstLineChars="200"/>
        <w:jc w:val="left"/>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auto"/>
          <w:sz w:val="32"/>
          <w:szCs w:val="32"/>
        </w:rPr>
        <w:t>培养</w:t>
      </w:r>
      <w:r>
        <w:rPr>
          <w:rFonts w:hint="eastAsia" w:ascii="仿宋" w:hAnsi="仿宋" w:eastAsia="仿宋" w:cs="仿宋"/>
          <w:color w:val="auto"/>
          <w:sz w:val="32"/>
          <w:szCs w:val="32"/>
          <w:lang w:eastAsia="zh-CN"/>
        </w:rPr>
        <w:t>要求</w:t>
      </w:r>
      <w:r>
        <w:rPr>
          <w:rFonts w:hint="eastAsia" w:ascii="仿宋" w:hAnsi="仿宋" w:eastAsia="仿宋" w:cs="仿宋"/>
          <w:color w:val="auto"/>
          <w:sz w:val="32"/>
          <w:szCs w:val="32"/>
        </w:rPr>
        <w:t>是对学生毕业时应该掌握的知识、具备的能力和素质的具体描述，包括学生通过本专业学习所掌握的知识、能力和素质。</w:t>
      </w:r>
      <w:r>
        <w:rPr>
          <w:rFonts w:hint="eastAsia" w:ascii="仿宋" w:hAnsi="仿宋" w:eastAsia="仿宋" w:cs="仿宋"/>
          <w:color w:val="auto"/>
          <w:sz w:val="32"/>
          <w:szCs w:val="32"/>
          <w:lang w:eastAsia="zh-CN"/>
        </w:rPr>
        <w:t>它与培养目标的关系是：培养目标</w:t>
      </w:r>
      <w:r>
        <w:rPr>
          <w:rFonts w:hint="eastAsia" w:ascii="仿宋" w:hAnsi="仿宋" w:eastAsia="仿宋" w:cs="仿宋"/>
          <w:color w:val="auto"/>
          <w:sz w:val="32"/>
          <w:szCs w:val="32"/>
          <w:lang w:val="en-US" w:eastAsia="zh-CN"/>
        </w:rPr>
        <w:t>=培养要求+Δ（增量）。</w:t>
      </w:r>
      <w:r>
        <w:rPr>
          <w:rFonts w:hint="eastAsia" w:ascii="仿宋" w:hAnsi="仿宋" w:eastAsia="仿宋" w:cs="仿宋"/>
          <w:color w:val="000000" w:themeColor="text1"/>
          <w:sz w:val="32"/>
          <w:szCs w:val="32"/>
          <w14:textFill>
            <w14:solidFill>
              <w14:schemeClr w14:val="tx1"/>
            </w14:solidFill>
          </w14:textFill>
        </w:rPr>
        <w:t>学校人才培养总体</w:t>
      </w:r>
      <w:r>
        <w:rPr>
          <w:rFonts w:hint="eastAsia" w:ascii="仿宋" w:hAnsi="仿宋" w:eastAsia="仿宋" w:cs="仿宋"/>
          <w:color w:val="000000" w:themeColor="text1"/>
          <w:sz w:val="32"/>
          <w:szCs w:val="32"/>
          <w:lang w:eastAsia="zh-CN"/>
          <w14:textFill>
            <w14:solidFill>
              <w14:schemeClr w14:val="tx1"/>
            </w14:solidFill>
          </w14:textFill>
        </w:rPr>
        <w:t>要求</w:t>
      </w:r>
      <w:r>
        <w:rPr>
          <w:rFonts w:hint="eastAsia" w:ascii="仿宋" w:hAnsi="仿宋" w:eastAsia="仿宋" w:cs="仿宋"/>
          <w:color w:val="000000" w:themeColor="text1"/>
          <w:sz w:val="32"/>
          <w:szCs w:val="32"/>
          <w14:textFill>
            <w14:solidFill>
              <w14:schemeClr w14:val="tx1"/>
            </w14:solidFill>
          </w14:textFill>
        </w:rPr>
        <w:t>是：面向生产、管理、服务一线，培养具有较高“职商、财商、情商、创商”，“会操作、会管理、会创新”的应用型人才。人才培养</w:t>
      </w:r>
      <w:r>
        <w:rPr>
          <w:rFonts w:hint="eastAsia" w:ascii="仿宋" w:hAnsi="仿宋" w:eastAsia="仿宋" w:cs="仿宋"/>
          <w:color w:val="000000" w:themeColor="text1"/>
          <w:sz w:val="32"/>
          <w:szCs w:val="32"/>
          <w:lang w:eastAsia="zh-CN"/>
          <w14:textFill>
            <w14:solidFill>
              <w14:schemeClr w14:val="tx1"/>
            </w14:solidFill>
          </w14:textFill>
        </w:rPr>
        <w:t>要求</w:t>
      </w:r>
      <w:r>
        <w:rPr>
          <w:rFonts w:hint="eastAsia" w:ascii="仿宋" w:hAnsi="仿宋" w:eastAsia="仿宋" w:cs="仿宋"/>
          <w:color w:val="000000" w:themeColor="text1"/>
          <w:sz w:val="32"/>
          <w:szCs w:val="32"/>
          <w14:textFill>
            <w14:solidFill>
              <w14:schemeClr w14:val="tx1"/>
            </w14:solidFill>
          </w14:textFill>
        </w:rPr>
        <w:t>的</w:t>
      </w:r>
      <w:r>
        <w:rPr>
          <w:rFonts w:hint="eastAsia" w:ascii="仿宋" w:hAnsi="仿宋" w:eastAsia="仿宋" w:cs="仿宋"/>
          <w:color w:val="000000" w:themeColor="text1"/>
          <w:sz w:val="32"/>
          <w:szCs w:val="32"/>
          <w:lang w:eastAsia="zh-CN"/>
          <w14:textFill>
            <w14:solidFill>
              <w14:schemeClr w14:val="tx1"/>
            </w14:solidFill>
          </w14:textFill>
        </w:rPr>
        <w:t>确</w:t>
      </w:r>
      <w:r>
        <w:rPr>
          <w:rFonts w:hint="eastAsia" w:ascii="仿宋" w:hAnsi="仿宋" w:eastAsia="仿宋" w:cs="仿宋"/>
          <w:color w:val="000000" w:themeColor="text1"/>
          <w:sz w:val="32"/>
          <w:szCs w:val="32"/>
          <w14:textFill>
            <w14:solidFill>
              <w14:schemeClr w14:val="tx1"/>
            </w14:solidFill>
          </w14:textFill>
        </w:rPr>
        <w:t>定要符合学校办学实际，支撑培养目标，满足行业需要。总体上可参照教育部颁布的《普通高等学校本科专业类教学质量国家标准》和中国工程教育专业认证标准中相关要求制定。</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四、课程体系</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科专业培养方案课程体系主要包括理论教学与实践教学两大部分，采用“平台+模块”的课程结构体系，即由思想政治课程平台、公共基础课程平台、通识教育课程平台、学科（专业）基础课程平台、专业课程平台、集中实践课程平台及创新创业与素质拓展平台七个课程平台构成。各专业的课程设置须满足国家相关文件规定和《普通高等学校本科专业类教学质量国家标准》的要求，并根据人才培养的目标要求、市场需求、生源特点等因素科学而灵活地设置，各模块课程的设置既要考虑学科专业理论体系要求，又要考虑社会、行业、企业及学生发展的需求。各模块课程既相对独立，又有机结合、相互支撑，共同促进应用型人才培养目标的实现。</w:t>
      </w:r>
    </w:p>
    <w:p>
      <w:pPr>
        <w:keepNext w:val="0"/>
        <w:keepLines w:val="0"/>
        <w:pageBreakBefore w:val="0"/>
        <w:kinsoku/>
        <w:wordWrap/>
        <w:overflowPunct/>
        <w:topLinePunct w:val="0"/>
        <w:bidi w:val="0"/>
        <w:adjustRightInd/>
        <w:snapToGrid/>
        <w:spacing w:line="540" w:lineRule="exact"/>
        <w:ind w:firstLine="643" w:firstLineChars="200"/>
        <w:textAlignment w:val="auto"/>
        <w:rPr>
          <w:rFonts w:hint="eastAsia" w:ascii="仿宋_GB2312" w:hAnsi="仿宋" w:eastAsia="仿宋_GB2312" w:cs="Times New Roman"/>
          <w:b/>
          <w:bCs/>
          <w:kern w:val="0"/>
          <w:sz w:val="32"/>
          <w:szCs w:val="32"/>
          <w:lang w:val="en-US" w:eastAsia="zh-CN" w:bidi="ar-SA"/>
        </w:rPr>
      </w:pPr>
      <w:r>
        <w:rPr>
          <w:rFonts w:hint="eastAsia" w:ascii="仿宋_GB2312" w:hAnsi="仿宋" w:eastAsia="仿宋_GB2312" w:cs="Times New Roman"/>
          <w:b/>
          <w:bCs/>
          <w:kern w:val="0"/>
          <w:sz w:val="32"/>
          <w:szCs w:val="32"/>
          <w:lang w:val="en-US" w:eastAsia="zh-CN" w:bidi="ar-SA"/>
        </w:rPr>
        <w:t>(一)理论教学</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1.思想政治课程平台</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思想政治课包括《马克思主义基本原理》《毛泽东思想和中国特色社会主义理论体系概论》《中国近现代史纲要》</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《思想道德与法治》《形势与政策 》5门课程，其课时学分按上级有关要求执行。</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2.公共基础课程平台</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 w:hAnsi="仿宋" w:eastAsia="仿宋" w:cs="仿宋"/>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公共基础课各专业学生共同必修的课程，主要包括</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大学语文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大学英语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大学计算机基础</w:t>
      </w:r>
      <w:r>
        <w:rPr>
          <w:rFonts w:hint="eastAsia" w:ascii="仿宋" w:hAnsi="仿宋" w:eastAsia="仿宋" w:cs="仿宋"/>
          <w:color w:val="auto"/>
          <w:sz w:val="32"/>
          <w:szCs w:val="32"/>
          <w:lang w:eastAsia="zh-CN"/>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高等数学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4门课程</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其中，《</w:t>
      </w:r>
      <w:r>
        <w:rPr>
          <w:rFonts w:hint="eastAsia" w:ascii="仿宋" w:hAnsi="仿宋" w:eastAsia="仿宋" w:cs="仿宋"/>
          <w:color w:val="000000" w:themeColor="text1"/>
          <w:sz w:val="32"/>
          <w:szCs w:val="32"/>
          <w14:textFill>
            <w14:solidFill>
              <w14:schemeClr w14:val="tx1"/>
            </w14:solidFill>
          </w14:textFill>
        </w:rPr>
        <w:t>大学语文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大学英语</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大学计算机基础</w:t>
      </w:r>
      <w:r>
        <w:rPr>
          <w:rFonts w:hint="eastAsia" w:ascii="仿宋" w:hAnsi="仿宋" w:eastAsia="仿宋" w:cs="仿宋"/>
          <w:color w:val="000000" w:themeColor="text1"/>
          <w:sz w:val="32"/>
          <w:szCs w:val="32"/>
          <w:lang w:eastAsia="zh-CN"/>
          <w14:textFill>
            <w14:solidFill>
              <w14:schemeClr w14:val="tx1"/>
            </w14:solidFill>
          </w14:textFill>
        </w:rPr>
        <w:t>》原则上统一设置</w:t>
      </w:r>
      <w:r>
        <w:rPr>
          <w:rFonts w:hint="eastAsia" w:ascii="仿宋" w:hAnsi="仿宋" w:eastAsia="仿宋" w:cs="仿宋"/>
          <w:color w:val="000000" w:themeColor="text1"/>
          <w:sz w:val="32"/>
          <w:szCs w:val="32"/>
          <w14:textFill>
            <w14:solidFill>
              <w14:schemeClr w14:val="tx1"/>
            </w14:solidFill>
          </w14:textFill>
        </w:rPr>
        <w:t>学时学分，</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高等数学</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根据不同的专业学时学分应有所区别。</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3.通识教育课程平台</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通识教育课程平台是根据人才培养总目标，旨在培养学生能独立思考、且对不同的学科有所认识，以至能将不同的知识融会贯通，保证学生德智体美劳全面发展的课程，分为通识教育必修课和通识教育选修课。</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（1）通识教育必修课</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通识教育必修课程由学校统一设置，包括</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军事理论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职业生涯与发展规划</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创业基础</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大学生心理健康教育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大学体育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val="0"/>
          <w:color w:val="auto"/>
          <w:sz w:val="32"/>
          <w:szCs w:val="32"/>
          <w:lang w:eastAsia="zh-CN"/>
        </w:rPr>
        <w:t>等课程</w:t>
      </w:r>
      <w:r>
        <w:rPr>
          <w:rFonts w:hint="eastAsia" w:ascii="仿宋" w:hAnsi="仿宋" w:eastAsia="仿宋" w:cs="仿宋"/>
          <w:color w:val="000000" w:themeColor="text1"/>
          <w:sz w:val="32"/>
          <w:szCs w:val="32"/>
          <w:lang w:eastAsia="zh-CN"/>
          <w14:textFill>
            <w14:solidFill>
              <w14:schemeClr w14:val="tx1"/>
            </w14:solidFill>
          </w14:textFill>
        </w:rPr>
        <w:t>；同时，以实践形式开设</w:t>
      </w:r>
      <w:r>
        <w:rPr>
          <w:rFonts w:hint="eastAsia" w:ascii="仿宋" w:hAnsi="仿宋" w:eastAsia="仿宋" w:cs="仿宋"/>
          <w:color w:val="auto"/>
          <w:sz w:val="32"/>
          <w:szCs w:val="32"/>
          <w:lang w:eastAsia="zh-CN"/>
        </w:rPr>
        <w:t>《军事训练》《劳动教育》《大学生就业指导》</w:t>
      </w:r>
      <w:r>
        <w:rPr>
          <w:rFonts w:hint="eastAsia" w:ascii="仿宋" w:hAnsi="仿宋" w:eastAsia="仿宋" w:cs="仿宋"/>
          <w:color w:val="auto"/>
          <w:sz w:val="32"/>
          <w:szCs w:val="32"/>
          <w:lang w:val="en-US" w:eastAsia="zh-CN"/>
        </w:rPr>
        <w:t>等课程</w:t>
      </w:r>
      <w:r>
        <w:rPr>
          <w:rFonts w:hint="eastAsia" w:ascii="仿宋" w:hAnsi="仿宋" w:eastAsia="仿宋" w:cs="仿宋"/>
          <w:color w:val="auto"/>
          <w:sz w:val="32"/>
          <w:szCs w:val="32"/>
        </w:rPr>
        <w:t>。</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（2）通识教育选修课</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通识选修课分为经济管理与数学思维、世界文化与语言表达、历史传统与哲学思辩、社会分析与公民素养、艺术修养与运动健康、自然科学与互联网创新创业六个模块。学生应在通识教育选修课程模块中选修10学分，其中，</w:t>
      </w:r>
      <w:r>
        <w:rPr>
          <w:rFonts w:hint="eastAsia" w:ascii="仿宋" w:hAnsi="仿宋" w:eastAsia="仿宋" w:cs="仿宋"/>
          <w:color w:val="auto"/>
          <w:sz w:val="32"/>
          <w:szCs w:val="32"/>
        </w:rPr>
        <w:t>艺术修养与艺术鉴赏课程必须至少选修2学分，安全教育选修1学分，四史（党史、新中国史、改革开放史、社会主义发展史）选修其一，0.5学分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另选3个非本专业的其他课程模块。</w:t>
      </w:r>
    </w:p>
    <w:p>
      <w:pPr>
        <w:keepNext w:val="0"/>
        <w:keepLines w:val="0"/>
        <w:pageBreakBefore w:val="0"/>
        <w:kinsoku/>
        <w:wordWrap/>
        <w:overflowPunct/>
        <w:topLinePunct w:val="0"/>
        <w:bidi w:val="0"/>
        <w:adjustRightInd/>
        <w:snapToGrid/>
        <w:spacing w:line="54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FF0000"/>
          <w:sz w:val="32"/>
          <w:szCs w:val="32"/>
          <w:lang w:eastAsia="zh-CN"/>
        </w:rPr>
        <w:t>学校统一要求开设的</w:t>
      </w:r>
      <w:r>
        <w:rPr>
          <w:rFonts w:hint="eastAsia" w:ascii="仿宋" w:hAnsi="仿宋" w:eastAsia="仿宋" w:cs="仿宋"/>
          <w:b/>
          <w:bCs/>
          <w:color w:val="FF0000"/>
          <w:sz w:val="32"/>
          <w:szCs w:val="32"/>
        </w:rPr>
        <w:t>通识大类课程（含思政课、公共基础课、通识教育必修课）</w:t>
      </w:r>
      <w:r>
        <w:rPr>
          <w:rFonts w:hint="eastAsia" w:ascii="仿宋" w:hAnsi="仿宋" w:eastAsia="仿宋" w:cs="仿宋"/>
          <w:b/>
          <w:bCs/>
          <w:color w:val="FF0000"/>
          <w:sz w:val="32"/>
          <w:szCs w:val="32"/>
          <w:lang w:eastAsia="zh-CN"/>
        </w:rPr>
        <w:t>设置见表</w:t>
      </w:r>
      <w:r>
        <w:rPr>
          <w:rFonts w:hint="eastAsia" w:ascii="仿宋" w:hAnsi="仿宋" w:eastAsia="仿宋" w:cs="仿宋"/>
          <w:b/>
          <w:bCs/>
          <w:color w:val="FF0000"/>
          <w:sz w:val="32"/>
          <w:szCs w:val="32"/>
          <w:lang w:val="en-US" w:eastAsia="zh-CN"/>
        </w:rPr>
        <w:t>1，数学类课程建议设置方案见表2）。</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4.学科专业基础课平台</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学科专业基础课程应涵盖专业人才培养目标中要求学生必须掌握的学科专业基础知识，应体现学科专业最基础、最核心的必修课程，以及反映专业科技发展前沿的基础知识。同一专业大类统一设置大学科专业基础课程，各专业要参照教育部《普通高等学校本科专业目录和专业介绍（2012年）》《普通高等学校本科专业类教学质量国家标准》中的规定要求，按学科专业大类构建学科专业基础教育课程平台，优化学科专业基础课程设置。其设置要体现基础性、支撑性和有效性。</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全校各专业学科专业基础课总学分一般在40-45个学分左右。</w:t>
      </w:r>
      <w:r>
        <w:rPr>
          <w:rFonts w:hint="eastAsia" w:ascii="仿宋" w:hAnsi="仿宋" w:eastAsia="仿宋" w:cs="仿宋"/>
          <w:b/>
          <w:bCs/>
          <w:color w:val="FF0000"/>
          <w:sz w:val="32"/>
          <w:szCs w:val="32"/>
          <w:lang w:eastAsia="zh-CN"/>
        </w:rPr>
        <w:t>经济学类、管理学类大学科基础课程建议设置方案见表</w:t>
      </w:r>
      <w:r>
        <w:rPr>
          <w:rFonts w:hint="eastAsia" w:ascii="仿宋" w:hAnsi="仿宋" w:eastAsia="仿宋" w:cs="仿宋"/>
          <w:b/>
          <w:bCs/>
          <w:color w:val="FF0000"/>
          <w:sz w:val="32"/>
          <w:szCs w:val="32"/>
          <w:lang w:val="en-US" w:eastAsia="zh-CN"/>
        </w:rPr>
        <w:t>3。</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5.专业课程平台</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专业课程应体现专业基础理论、基本知识、基本技能及专业自身的特点与专业特色，包括专业必修课程和专业选修课程。</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（1）专业必修课</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专业必修课程旨在完善学生在本学科专业的知识、素质和能力结构，主要体现各专业对学生专业知识的要求。要认真梳理整合专业课程，构建体现本专业特点的核心课程。专业必修课的设置必须符合《普通高等学校本科专业类教学质量国家标准》的要求，其总学分约占20分左右。</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（2）专业选修课</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default" w:ascii="仿宋" w:hAnsi="仿宋" w:eastAsia="仿宋" w:cs="仿宋"/>
          <w:b/>
          <w:bCs/>
          <w:color w:val="FF0000"/>
          <w:sz w:val="32"/>
          <w:szCs w:val="32"/>
          <w:lang w:val="en-US" w:eastAsia="zh-CN"/>
        </w:rPr>
      </w:pPr>
      <w:r>
        <w:rPr>
          <w:rFonts w:hint="eastAsia" w:ascii="仿宋" w:hAnsi="仿宋" w:eastAsia="仿宋" w:cs="仿宋"/>
          <w:color w:val="000000" w:themeColor="text1"/>
          <w:sz w:val="32"/>
          <w:szCs w:val="32"/>
          <w14:textFill>
            <w14:solidFill>
              <w14:schemeClr w14:val="tx1"/>
            </w14:solidFill>
          </w14:textFill>
        </w:rPr>
        <w:t>专业选修课程旨在拓宽学生的专业视野，增强学生适应社会需求能力，课程应具有前沿性、广泛性、实用性等特点。有多个方向的专业可根据专业方向的培养需要设置多个专业选修课程组（总学分一致）。专业选修课程的开设方式可以是由同一专业大类的其他专业主干课程或核心课程组成由学生任选，也可以根据各专业实际情况设计自成体系的课程模块，或者采取两者相结合的方式，还可以从学校组织的暑期课程中选择，给予学生较多自由选择的空间。</w:t>
      </w:r>
      <w:r>
        <w:rPr>
          <w:rFonts w:hint="eastAsia" w:ascii="仿宋" w:hAnsi="仿宋" w:eastAsia="仿宋" w:cs="仿宋"/>
          <w:b/>
          <w:bCs/>
          <w:color w:val="FF0000"/>
          <w:sz w:val="32"/>
          <w:szCs w:val="32"/>
          <w:lang w:eastAsia="zh-CN"/>
        </w:rPr>
        <w:t>其中，各专业普通班学生</w:t>
      </w:r>
      <w:r>
        <w:rPr>
          <w:rFonts w:hint="eastAsia" w:ascii="仿宋" w:hAnsi="仿宋" w:eastAsia="仿宋" w:cs="仿宋"/>
          <w:b/>
          <w:bCs/>
          <w:color w:val="FF0000"/>
          <w:sz w:val="32"/>
          <w:szCs w:val="32"/>
          <w:lang w:val="en-US" w:eastAsia="zh-CN"/>
        </w:rPr>
        <w:t>第三学期</w:t>
      </w:r>
      <w:r>
        <w:rPr>
          <w:rFonts w:hint="eastAsia" w:ascii="仿宋" w:hAnsi="仿宋" w:eastAsia="仿宋" w:cs="仿宋"/>
          <w:b/>
          <w:bCs/>
          <w:color w:val="FF0000"/>
          <w:sz w:val="32"/>
          <w:szCs w:val="32"/>
          <w:lang w:eastAsia="zh-CN"/>
        </w:rPr>
        <w:t>课程修读至少</w:t>
      </w:r>
      <w:r>
        <w:rPr>
          <w:rFonts w:hint="eastAsia" w:ascii="仿宋" w:hAnsi="仿宋" w:eastAsia="仿宋" w:cs="仿宋"/>
          <w:b/>
          <w:bCs/>
          <w:color w:val="FF0000"/>
          <w:sz w:val="32"/>
          <w:szCs w:val="32"/>
          <w:lang w:val="en-US" w:eastAsia="zh-CN"/>
        </w:rPr>
        <w:t>2学分，厚生实验班学生第三学期课程修读至少5学分。</w:t>
      </w:r>
    </w:p>
    <w:p>
      <w:pPr>
        <w:keepNext w:val="0"/>
        <w:keepLines w:val="0"/>
        <w:pageBreakBefore w:val="0"/>
        <w:kinsoku/>
        <w:wordWrap/>
        <w:overflowPunct/>
        <w:topLinePunct w:val="0"/>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原则上，各专业选修课总学分不得低于20个学分。专业选修课程以模块形式开设时，各个专业至少要开设二个及以上课程模块，每个课程模块学分相近、开课学期相同。专业选修课程的总学分数原则上控制在学生应选修课程学分数的1.5-2倍。</w:t>
      </w:r>
    </w:p>
    <w:p>
      <w:pPr>
        <w:keepNext w:val="0"/>
        <w:keepLines w:val="0"/>
        <w:pageBreakBefore w:val="0"/>
        <w:kinsoku/>
        <w:wordWrap/>
        <w:overflowPunct/>
        <w:topLinePunct w:val="0"/>
        <w:bidi w:val="0"/>
        <w:adjustRightInd/>
        <w:snapToGrid/>
        <w:spacing w:line="540" w:lineRule="exact"/>
        <w:ind w:firstLine="643" w:firstLineChars="200"/>
        <w:textAlignment w:val="auto"/>
        <w:rPr>
          <w:rFonts w:hint="eastAsia" w:ascii="仿宋_GB2312" w:hAnsi="仿宋" w:eastAsia="仿宋_GB2312" w:cs="Times New Roman"/>
          <w:b/>
          <w:bCs/>
          <w:kern w:val="0"/>
          <w:sz w:val="32"/>
          <w:szCs w:val="32"/>
          <w:lang w:val="en-US" w:eastAsia="zh-CN" w:bidi="ar-SA"/>
        </w:rPr>
      </w:pPr>
      <w:r>
        <w:rPr>
          <w:rFonts w:hint="eastAsia" w:ascii="仿宋_GB2312" w:hAnsi="仿宋" w:eastAsia="仿宋_GB2312" w:cs="Times New Roman"/>
          <w:b/>
          <w:bCs/>
          <w:kern w:val="0"/>
          <w:sz w:val="32"/>
          <w:szCs w:val="32"/>
          <w:lang w:val="en-US" w:eastAsia="zh-CN" w:bidi="ar-SA"/>
        </w:rPr>
        <w:t>（二）实践教学</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实践教学包含专业各课程开设的实验课、专业独立开设的实训课程、学校统一开设的实践课程（环节）以及创新创业与素质拓展平台。其中，课程开设的实验课包含在理论课程教学中。</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1.集中实践课程平台</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集中实践课程含专业独立开设的实训课程、大学生就业指导、劳动教育、军事训练、各类实习（含专业学习导论、专业实习、毕业实习）、毕业论文（设计）等。各专业根据自身专业特点和人才培养要求，科学合理设置实习实践或课程设计环节。提倡各专业特别是理工科专业开设综合性、创新性专业综合实习实践或课程设计。鼓励各专业结合生产实际、科研课题、创新项目、学科竞赛等开展毕业</w:t>
      </w:r>
      <w:r>
        <w:rPr>
          <w:rFonts w:hint="eastAsia" w:ascii="仿宋_GB2312" w:hAnsi="仿宋_GB2312" w:eastAsia="仿宋_GB2312" w:cs="仿宋_GB2312"/>
          <w:color w:val="000000" w:themeColor="text1"/>
          <w:sz w:val="32"/>
          <w:szCs w:val="32"/>
          <w:lang w:eastAsia="zh-CN"/>
          <w14:textFill>
            <w14:solidFill>
              <w14:schemeClr w14:val="tx1"/>
            </w14:solidFill>
          </w14:textFill>
        </w:rPr>
        <w:t>论文（</w:t>
      </w:r>
      <w:r>
        <w:rPr>
          <w:rFonts w:hint="eastAsia" w:ascii="仿宋_GB2312" w:hAnsi="仿宋_GB2312" w:eastAsia="仿宋_GB2312" w:cs="仿宋_GB2312"/>
          <w:color w:val="000000" w:themeColor="text1"/>
          <w:sz w:val="32"/>
          <w:szCs w:val="32"/>
          <w14:textFill>
            <w14:solidFill>
              <w14:schemeClr w14:val="tx1"/>
            </w14:solidFill>
          </w14:textFill>
        </w:rPr>
        <w:t>设计</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，毕业论文（设计）以行业企业的一线需要作为选题主要来源。实践教学设置应符合《普通高等学校本科专业类教学质量国家标准》。</w:t>
      </w:r>
    </w:p>
    <w:p>
      <w:pPr>
        <w:keepNext w:val="0"/>
        <w:keepLines w:val="0"/>
        <w:pageBreakBefore w:val="0"/>
        <w:kinsoku/>
        <w:wordWrap/>
        <w:overflowPunct/>
        <w:topLinePunct w:val="0"/>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FF0000"/>
          <w:sz w:val="32"/>
          <w:szCs w:val="32"/>
          <w:lang w:eastAsia="zh-CN"/>
        </w:rPr>
        <w:t>学校统一开设的集中实践课程及学分结构见表</w:t>
      </w:r>
      <w:r>
        <w:rPr>
          <w:rFonts w:hint="eastAsia" w:ascii="仿宋_GB2312" w:hAnsi="仿宋_GB2312" w:eastAsia="仿宋_GB2312" w:cs="仿宋_GB2312"/>
          <w:b/>
          <w:bCs/>
          <w:color w:val="FF0000"/>
          <w:sz w:val="32"/>
          <w:szCs w:val="32"/>
          <w:lang w:val="en-US" w:eastAsia="zh-CN"/>
        </w:rPr>
        <w:t>4。</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b w:val="0"/>
          <w:bCs w:val="0"/>
          <w:color w:val="auto"/>
          <w:sz w:val="32"/>
          <w:szCs w:val="32"/>
        </w:rPr>
        <w:t>创新创业与社会实践平台</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设立6个大学生自主学习、创新创业、社会实践活动学分，认定项目由学校相关职能部门和各二级学院共同设计，包含各种自主学习、社会社团活动、学科技能竞赛、职业资格证书等项目和素质拓展课程组成。各二级学院发挥各自学科和科研优势，采取课内外相结合、强化实践创新的原则设置灵活多样的有利于学生创新创业能力培养的课程。</w:t>
      </w:r>
    </w:p>
    <w:p>
      <w:pPr>
        <w:keepNext w:val="0"/>
        <w:keepLines w:val="0"/>
        <w:pageBreakBefore w:val="0"/>
        <w:kinsoku/>
        <w:wordWrap/>
        <w:overflowPunct/>
        <w:topLinePunct w:val="0"/>
        <w:bidi w:val="0"/>
        <w:adjustRightInd/>
        <w:snapToGrid/>
        <w:spacing w:line="540" w:lineRule="exact"/>
        <w:ind w:firstLine="643" w:firstLineChars="200"/>
        <w:textAlignment w:val="auto"/>
        <w:rPr>
          <w:rFonts w:hint="eastAsia" w:ascii="仿宋_GB2312" w:hAnsi="仿宋_GB2312" w:eastAsia="仿宋_GB2312" w:cs="仿宋_GB2312"/>
          <w:b/>
          <w:bCs/>
          <w:kern w:val="0"/>
          <w:sz w:val="32"/>
          <w:szCs w:val="32"/>
          <w:lang w:val="en-US" w:eastAsia="zh-CN" w:bidi="ar-SA"/>
        </w:rPr>
      </w:pPr>
      <w:r>
        <w:rPr>
          <w:rFonts w:hint="eastAsia" w:ascii="仿宋_GB2312" w:hAnsi="仿宋_GB2312" w:eastAsia="仿宋_GB2312" w:cs="仿宋_GB2312"/>
          <w:b/>
          <w:bCs/>
          <w:kern w:val="0"/>
          <w:sz w:val="32"/>
          <w:szCs w:val="32"/>
          <w:lang w:val="en-US" w:eastAsia="zh-CN" w:bidi="ar-SA"/>
        </w:rPr>
        <w:t>（三）学时及学分</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000000" w:themeColor="text1"/>
          <w:sz w:val="32"/>
          <w:szCs w:val="32"/>
          <w14:textFill>
            <w14:solidFill>
              <w14:schemeClr w14:val="tx1"/>
            </w14:solidFill>
          </w14:textFill>
        </w:rPr>
        <w:t>1．实行学分制管理，学生修满既定的学分，毕业论文（设计）答辩合格，大学生创新创业、社会实践活动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达到要求</w:t>
      </w:r>
      <w:r>
        <w:rPr>
          <w:rFonts w:hint="eastAsia" w:ascii="仿宋_GB2312" w:hAnsi="仿宋_GB2312" w:eastAsia="仿宋_GB2312" w:cs="仿宋_GB2312"/>
          <w:color w:val="000000" w:themeColor="text1"/>
          <w:sz w:val="32"/>
          <w:szCs w:val="32"/>
          <w14:textFill>
            <w14:solidFill>
              <w14:schemeClr w14:val="tx1"/>
            </w14:solidFill>
          </w14:textFill>
        </w:rPr>
        <w:t>即可毕业。课堂教学（包括讲授、课程实践和专题讲座）原则上16学时计1学分，体育课36课时计1学分，实践教学一周计0.5-1学分。</w:t>
      </w:r>
      <w:r>
        <w:rPr>
          <w:rFonts w:hint="eastAsia" w:ascii="仿宋_GB2312" w:hAnsi="仿宋_GB2312" w:eastAsia="仿宋_GB2312" w:cs="仿宋_GB2312"/>
          <w:b w:val="0"/>
          <w:bCs w:val="0"/>
          <w:color w:val="auto"/>
          <w:sz w:val="32"/>
          <w:szCs w:val="32"/>
          <w:lang w:eastAsia="zh-CN"/>
        </w:rPr>
        <w:t>为更好地发挥学分在人才培养中的调节作用，人才培养方案中的学分采用加权学分，课程学分按教学内容、教学手段、教学质量等因素加权确定，加权学分对应的实际学时数可灵活确定。</w:t>
      </w:r>
    </w:p>
    <w:p>
      <w:pPr>
        <w:keepNext w:val="0"/>
        <w:keepLines w:val="0"/>
        <w:pageBreakBefore w:val="0"/>
        <w:kinsoku/>
        <w:wordWrap/>
        <w:overflowPunct/>
        <w:topLinePunct w:val="0"/>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2．各专业人才培养方案总学分在160学分左右，其总学分结构如下表：</w:t>
      </w:r>
    </w:p>
    <w:tbl>
      <w:tblPr>
        <w:tblStyle w:val="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1974"/>
        <w:gridCol w:w="1245"/>
        <w:gridCol w:w="999"/>
        <w:gridCol w:w="2773"/>
        <w:gridCol w:w="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课程</w:t>
            </w:r>
          </w:p>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类型</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通识教育大类课（含思政课、公共基础课</w:t>
            </w:r>
            <w:r>
              <w:rPr>
                <w:rFonts w:hint="eastAsia" w:ascii="宋体" w:hAnsi="宋体" w:cs="宋体"/>
                <w:color w:val="auto"/>
                <w:kern w:val="0"/>
                <w:sz w:val="18"/>
                <w:szCs w:val="18"/>
                <w:lang w:eastAsia="zh-CN"/>
              </w:rPr>
              <w:t>、通识教育必修课</w:t>
            </w:r>
            <w:r>
              <w:rPr>
                <w:rFonts w:hint="eastAsia" w:ascii="宋体" w:hAnsi="宋体" w:cs="宋体"/>
                <w:color w:val="auto"/>
                <w:kern w:val="0"/>
                <w:sz w:val="18"/>
                <w:szCs w:val="18"/>
              </w:rPr>
              <w:t>）</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学科（专业）</w:t>
            </w:r>
          </w:p>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基础课</w:t>
            </w:r>
          </w:p>
        </w:tc>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专业课</w:t>
            </w:r>
          </w:p>
        </w:tc>
        <w:tc>
          <w:tcPr>
            <w:tcW w:w="2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集中实践课程（含环节）</w:t>
            </w:r>
          </w:p>
        </w:tc>
        <w:tc>
          <w:tcPr>
            <w:tcW w:w="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学分</w:t>
            </w:r>
          </w:p>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比例</w:t>
            </w:r>
          </w:p>
        </w:tc>
        <w:tc>
          <w:tcPr>
            <w:tcW w:w="19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30－35%左右</w:t>
            </w:r>
          </w:p>
        </w:tc>
        <w:tc>
          <w:tcPr>
            <w:tcW w:w="12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27%左右</w:t>
            </w:r>
          </w:p>
        </w:tc>
        <w:tc>
          <w:tcPr>
            <w:tcW w:w="9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25%左右</w:t>
            </w:r>
          </w:p>
        </w:tc>
        <w:tc>
          <w:tcPr>
            <w:tcW w:w="2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各专业由学校统一开设的集中实践课程学分为20.5分，占12.8%。各专业应根据人才培养要求开设独立的实训课程，其总体实践教学环节应符合教育部相关要求。</w:t>
            </w:r>
          </w:p>
        </w:tc>
        <w:tc>
          <w:tcPr>
            <w:tcW w:w="7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r>
    </w:tbl>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3.人才培养改革厚生班、中外合作办学项目可适当放宽至180学分左右，其总学分结构可在以上的基础上适当调整，但要重点保证通识教育课和学科专业基础课的学时学分。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、培养制度</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Times New Roman"/>
          <w:b/>
          <w:bCs/>
          <w:kern w:val="0"/>
          <w:sz w:val="32"/>
          <w:szCs w:val="32"/>
          <w:lang w:val="en-US" w:eastAsia="zh-CN" w:bidi="ar-SA"/>
        </w:rPr>
      </w:pPr>
      <w:r>
        <w:rPr>
          <w:rFonts w:hint="eastAsia" w:ascii="仿宋_GB2312" w:hAnsi="仿宋" w:eastAsia="仿宋_GB2312" w:cs="Times New Roman"/>
          <w:b/>
          <w:bCs/>
          <w:kern w:val="0"/>
          <w:sz w:val="32"/>
          <w:szCs w:val="32"/>
          <w:lang w:val="en-US" w:eastAsia="zh-CN" w:bidi="ar-SA"/>
        </w:rPr>
        <w:t>（一）学制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基本学制4年，弹性学制3-6年。</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Times New Roman"/>
          <w:b/>
          <w:bCs/>
          <w:kern w:val="0"/>
          <w:sz w:val="32"/>
          <w:szCs w:val="32"/>
          <w:lang w:val="en-US" w:eastAsia="zh-CN" w:bidi="ar-SA"/>
        </w:rPr>
      </w:pPr>
      <w:r>
        <w:rPr>
          <w:rFonts w:hint="eastAsia" w:ascii="仿宋_GB2312" w:hAnsi="仿宋" w:eastAsia="仿宋_GB2312" w:cs="Times New Roman"/>
          <w:b/>
          <w:bCs/>
          <w:kern w:val="0"/>
          <w:sz w:val="32"/>
          <w:szCs w:val="32"/>
          <w:lang w:val="en-US" w:eastAsia="zh-CN" w:bidi="ar-SA"/>
        </w:rPr>
        <w:t>（二）学期及全学程周数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全学程基本学制为四年8学期，每学期基本</w:t>
      </w:r>
      <w:r>
        <w:rPr>
          <w:rFonts w:hint="eastAsia" w:ascii="仿宋" w:hAnsi="仿宋" w:eastAsia="仿宋" w:cs="仿宋"/>
          <w:color w:val="000000" w:themeColor="text1"/>
          <w:sz w:val="32"/>
          <w:szCs w:val="32"/>
          <w:lang w:eastAsia="zh-CN"/>
          <w14:textFill>
            <w14:solidFill>
              <w14:schemeClr w14:val="tx1"/>
            </w14:solidFill>
          </w14:textFill>
        </w:rPr>
        <w:t>教</w:t>
      </w:r>
      <w:r>
        <w:rPr>
          <w:rFonts w:hint="eastAsia" w:ascii="仿宋" w:hAnsi="仿宋" w:eastAsia="仿宋" w:cs="仿宋"/>
          <w:color w:val="000000" w:themeColor="text1"/>
          <w:sz w:val="32"/>
          <w:szCs w:val="32"/>
          <w14:textFill>
            <w14:solidFill>
              <w14:schemeClr w14:val="tx1"/>
            </w14:solidFill>
          </w14:textFill>
        </w:rPr>
        <w:t>学周数为16，每学年基本</w:t>
      </w:r>
      <w:r>
        <w:rPr>
          <w:rFonts w:hint="eastAsia" w:ascii="仿宋" w:hAnsi="仿宋" w:eastAsia="仿宋" w:cs="仿宋"/>
          <w:color w:val="000000" w:themeColor="text1"/>
          <w:sz w:val="32"/>
          <w:szCs w:val="32"/>
          <w:lang w:eastAsia="zh-CN"/>
          <w14:textFill>
            <w14:solidFill>
              <w14:schemeClr w14:val="tx1"/>
            </w14:solidFill>
          </w14:textFill>
        </w:rPr>
        <w:t>教</w:t>
      </w:r>
      <w:r>
        <w:rPr>
          <w:rFonts w:hint="eastAsia" w:ascii="仿宋" w:hAnsi="仿宋" w:eastAsia="仿宋" w:cs="仿宋"/>
          <w:color w:val="000000" w:themeColor="text1"/>
          <w:sz w:val="32"/>
          <w:szCs w:val="32"/>
          <w14:textFill>
            <w14:solidFill>
              <w14:schemeClr w14:val="tx1"/>
            </w14:solidFill>
          </w14:textFill>
        </w:rPr>
        <w:t>学周数为32。另在每学年的上学期结束后安排3周的暑期教学周，安排三年，共9周。</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Times New Roman"/>
          <w:b/>
          <w:bCs/>
          <w:kern w:val="0"/>
          <w:sz w:val="32"/>
          <w:szCs w:val="32"/>
          <w:lang w:val="en-US" w:eastAsia="zh-CN" w:bidi="ar-SA"/>
        </w:rPr>
      </w:pPr>
      <w:r>
        <w:rPr>
          <w:rFonts w:hint="eastAsia" w:ascii="仿宋_GB2312" w:hAnsi="仿宋" w:eastAsia="仿宋_GB2312" w:cs="Times New Roman"/>
          <w:b/>
          <w:bCs/>
          <w:kern w:val="0"/>
          <w:sz w:val="32"/>
          <w:szCs w:val="32"/>
          <w:lang w:val="en-US" w:eastAsia="zh-CN" w:bidi="ar-SA"/>
        </w:rPr>
        <w:t>（三）教学安排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原则上通识教育必修课主要集中在第一、二学期开设，通识教育选修课在第一、二、三、四、五、六、七学期开设。各专业的学期课程安排尽量保持平衡，大一、大二和大三每学期周学时控制在20-26学时，大四学时可以</w:t>
      </w:r>
      <w:r>
        <w:rPr>
          <w:rFonts w:hint="eastAsia" w:ascii="仿宋" w:hAnsi="仿宋" w:eastAsia="仿宋" w:cs="仿宋"/>
          <w:color w:val="000000" w:themeColor="text1"/>
          <w:sz w:val="32"/>
          <w:szCs w:val="32"/>
          <w:lang w:eastAsia="zh-CN"/>
          <w14:textFill>
            <w14:solidFill>
              <w14:schemeClr w14:val="tx1"/>
            </w14:solidFill>
          </w14:textFill>
        </w:rPr>
        <w:t>适量</w:t>
      </w:r>
      <w:r>
        <w:rPr>
          <w:rFonts w:hint="eastAsia" w:ascii="仿宋" w:hAnsi="仿宋" w:eastAsia="仿宋" w:cs="仿宋"/>
          <w:color w:val="000000" w:themeColor="text1"/>
          <w:sz w:val="32"/>
          <w:szCs w:val="32"/>
          <w14:textFill>
            <w14:solidFill>
              <w14:schemeClr w14:val="tx1"/>
            </w14:solidFill>
          </w14:textFill>
        </w:rPr>
        <w:t>减少。</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Times New Roman"/>
          <w:b/>
          <w:bCs/>
          <w:kern w:val="0"/>
          <w:sz w:val="32"/>
          <w:szCs w:val="32"/>
          <w:lang w:val="en-US" w:eastAsia="zh-CN" w:bidi="ar-SA"/>
        </w:rPr>
      </w:pPr>
      <w:r>
        <w:rPr>
          <w:rFonts w:hint="eastAsia" w:ascii="仿宋_GB2312" w:hAnsi="仿宋" w:eastAsia="仿宋_GB2312" w:cs="Times New Roman"/>
          <w:b/>
          <w:bCs/>
          <w:kern w:val="0"/>
          <w:sz w:val="32"/>
          <w:szCs w:val="32"/>
          <w:lang w:val="en-US" w:eastAsia="zh-CN" w:bidi="ar-SA"/>
        </w:rPr>
        <w:t>（四）课程考核及成绩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课程考核方式为“考试”和“考查”，原则上通识教育必修课为考试课程，学科专业基础课和专业必修课为考试课程，其它课程的考核方式则由各学院自定。鼓励教师采取非命题方式加强学生学习过程的考核。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六、专业培养方案的基本内容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本科专业培养方案的主要内容包括：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（一）专业简介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（二）培养目标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（三）培养要求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（四）毕业标准及学分要求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（五）学制与学位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（六）专业核心课程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（七）课程体系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000000" w:themeColor="text1"/>
          <w:sz w:val="32"/>
          <w:szCs w:val="32"/>
          <w14:textFill>
            <w14:solidFill>
              <w14:schemeClr w14:val="tx1"/>
            </w14:solidFill>
          </w14:textFill>
        </w:rPr>
        <w:t>（八）课程体系与培养要求的</w:t>
      </w:r>
      <w:r>
        <w:rPr>
          <w:rFonts w:hint="eastAsia" w:ascii="仿宋" w:hAnsi="仿宋" w:eastAsia="仿宋" w:cs="仿宋"/>
          <w:color w:val="auto"/>
          <w:sz w:val="32"/>
          <w:szCs w:val="32"/>
        </w:rPr>
        <w:t>对应关系矩阵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七、其他说明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学校鼓励各专业按照自身特点和办学思路，打造特色，允许各专业制订有利于学生个性发展的培养方案。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各专业应根据“厚基础、宽口径”的原则，按照“国标”及教育部教学指导委员会要求，设置学科</w:t>
      </w:r>
      <w:r>
        <w:rPr>
          <w:rFonts w:hint="eastAsia" w:ascii="仿宋" w:hAnsi="仿宋" w:eastAsia="仿宋" w:cs="仿宋"/>
          <w:color w:val="000000" w:themeColor="text1"/>
          <w:sz w:val="32"/>
          <w:szCs w:val="32"/>
          <w:lang w:eastAsia="zh-CN"/>
          <w14:textFill>
            <w14:solidFill>
              <w14:schemeClr w14:val="tx1"/>
            </w14:solidFill>
          </w14:textFill>
        </w:rPr>
        <w:t>专业</w:t>
      </w:r>
      <w:r>
        <w:rPr>
          <w:rFonts w:hint="eastAsia" w:ascii="仿宋" w:hAnsi="仿宋" w:eastAsia="仿宋" w:cs="仿宋"/>
          <w:color w:val="000000" w:themeColor="text1"/>
          <w:sz w:val="32"/>
          <w:szCs w:val="32"/>
          <w14:textFill>
            <w14:solidFill>
              <w14:schemeClr w14:val="tx1"/>
            </w14:solidFill>
          </w14:textFill>
        </w:rPr>
        <w:t>基础课，同一专业大类中的各专业学科基础课应保持一致。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（三）课程实施开课学院归口管理，各专业所在学院在制定人才培养方案时，非本学院开设的课程需征求开课学院的意见，由双方教学副院长共同签字确认。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（四）鼓励加强课程过程考核，每个专业每学期考核类型为“考试”的课程门数控制在4-6门左右。</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FF0000"/>
          <w:sz w:val="32"/>
          <w:szCs w:val="32"/>
          <w:lang w:val="en-US" w:eastAsia="zh-CN"/>
        </w:rPr>
        <w:t>（五）为适应现代社会对人才的需要，培养复合型人才，各专业可面向全日制本科生开展辅修专业教育，制定辅修专业课程设置及教学进程，学分控制在50左右。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专业人才培养方案制订与执行中，涉及的一些关键问题和教学改革举措，要及时与教务处沟通并形成共识，以便统筹协调，确保培养方案制订的有序进行。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八、工作要求</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Times New Roman"/>
          <w:b/>
          <w:bCs/>
          <w:kern w:val="0"/>
          <w:sz w:val="32"/>
          <w:szCs w:val="32"/>
          <w:lang w:val="en-US" w:eastAsia="zh-CN" w:bidi="ar-SA"/>
        </w:rPr>
      </w:pPr>
      <w:r>
        <w:rPr>
          <w:rFonts w:hint="eastAsia" w:ascii="仿宋_GB2312" w:hAnsi="仿宋" w:eastAsia="仿宋_GB2312" w:cs="Times New Roman"/>
          <w:b/>
          <w:bCs/>
          <w:kern w:val="0"/>
          <w:sz w:val="32"/>
          <w:szCs w:val="32"/>
          <w:lang w:val="en-US" w:eastAsia="zh-CN" w:bidi="ar-SA"/>
        </w:rPr>
        <w:t>（一）成立工作小组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制订本科人才培养方案是“一把手”工程，各学院须成立院长为组长，教学副院长为副组长，专业系主任、专业负责人和骨干教师为主要成员的本科专业人才培养方案修订工作</w:t>
      </w:r>
      <w:r>
        <w:rPr>
          <w:rFonts w:hint="eastAsia" w:ascii="仿宋" w:hAnsi="仿宋" w:eastAsia="仿宋" w:cs="仿宋"/>
          <w:color w:val="000000" w:themeColor="text1"/>
          <w:sz w:val="32"/>
          <w:szCs w:val="32"/>
          <w:lang w:val="en-US" w:eastAsia="zh-CN"/>
          <w14:textFill>
            <w14:solidFill>
              <w14:schemeClr w14:val="tx1"/>
            </w14:solidFill>
          </w14:textFill>
        </w:rPr>
        <w:t>小组，负责制订2022版人才培养方案。</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Times New Roman"/>
          <w:b/>
          <w:bCs/>
          <w:kern w:val="0"/>
          <w:sz w:val="32"/>
          <w:szCs w:val="32"/>
          <w:lang w:val="en-US" w:eastAsia="zh-CN" w:bidi="ar-SA"/>
        </w:rPr>
      </w:pPr>
      <w:r>
        <w:rPr>
          <w:rFonts w:hint="eastAsia" w:ascii="仿宋_GB2312" w:hAnsi="仿宋" w:eastAsia="仿宋_GB2312" w:cs="Times New Roman"/>
          <w:b/>
          <w:bCs/>
          <w:kern w:val="0"/>
          <w:sz w:val="32"/>
          <w:szCs w:val="32"/>
          <w:lang w:val="en-US" w:eastAsia="zh-CN" w:bidi="ar-SA"/>
        </w:rPr>
        <w:t>（二）反复调研论证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各专业修订人才培养方案时须全面了解对比国内一流高校人才培养方案制定情况，组织本专业专家、知名学者、行业企业专家、教师和学生代表对人才培养方案的前瞻性、科学性、可行性进行充分论证。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所有专业特别是新设置专业的培养方案在完成培养方案初稿后，应邀请校内本专业老师进行集体研讨，并至少3位校外专家或相关行业专家进行培养方案论证，填写校外专家论证意见表</w:t>
      </w:r>
      <w:r>
        <w:rPr>
          <w:rFonts w:hint="eastAsia" w:ascii="仿宋" w:hAnsi="仿宋" w:eastAsia="仿宋" w:cs="仿宋"/>
          <w:b/>
          <w:bCs/>
          <w:color w:val="FF0000"/>
          <w:sz w:val="32"/>
          <w:szCs w:val="32"/>
          <w:lang w:val="en-US" w:eastAsia="zh-CN"/>
        </w:rPr>
        <w:t>（表5）</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 w:eastAsia="仿宋_GB2312" w:cs="Times New Roman"/>
          <w:b/>
          <w:bCs/>
          <w:kern w:val="0"/>
          <w:sz w:val="32"/>
          <w:szCs w:val="32"/>
          <w:lang w:val="en-US" w:eastAsia="zh-CN" w:bidi="ar-SA"/>
        </w:rPr>
      </w:pPr>
      <w:r>
        <w:rPr>
          <w:rFonts w:hint="eastAsia" w:ascii="仿宋_GB2312" w:hAnsi="仿宋" w:eastAsia="仿宋_GB2312" w:cs="Times New Roman"/>
          <w:b/>
          <w:bCs/>
          <w:kern w:val="0"/>
          <w:sz w:val="32"/>
          <w:szCs w:val="32"/>
          <w:lang w:val="en-US" w:eastAsia="zh-CN" w:bidi="ar-SA"/>
        </w:rPr>
        <w:t>（三）撰写或修订教学大纲</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配合人才培养方案的修订，按课程归属原则，各学院组织教师做好所有课程描述和教学大纲的修订工作，注意突出课程思政，突出教学内容的更新，突出学生课程考核方式的变革。教学要求相同的课程须使用统一教学大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1.普通本科专业通识大类课程（含思政课、公共基础课、通识教育必修课）一览表；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2.数学类课程建议设置方案；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3.经济学类、管理学类大学科基础课程建议设置方案；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4.学校统一开设的集中实践课及学分结构；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5.校外专家论证意见表；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6.各专业主要课程中英文描述；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7.专业人才培养方案制订审批表；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8.专业人才培养方案模板（含专升本）。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760" w:firstLineChars="18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教务处</w:t>
      </w:r>
    </w:p>
    <w:p>
      <w:pPr>
        <w:keepNext w:val="0"/>
        <w:keepLines w:val="0"/>
        <w:pageBreakBefore w:val="0"/>
        <w:widowControl w:val="0"/>
        <w:kinsoku/>
        <w:wordWrap/>
        <w:overflowPunct/>
        <w:topLinePunct w:val="0"/>
        <w:autoSpaceDE/>
        <w:autoSpaceDN/>
        <w:bidi w:val="0"/>
        <w:adjustRightInd/>
        <w:snapToGrid/>
        <w:spacing w:line="540" w:lineRule="exact"/>
        <w:ind w:firstLine="5440" w:firstLineChars="17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日</w:t>
      </w:r>
    </w:p>
    <w:p>
      <w:pPr>
        <w:spacing w:line="560" w:lineRule="exact"/>
        <w:ind w:firstLine="5440" w:firstLineChars="17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5440" w:firstLineChars="17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5440" w:firstLineChars="17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5440" w:firstLineChars="17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5440" w:firstLineChars="1700"/>
        <w:rPr>
          <w:rFonts w:hint="eastAsia" w:ascii="仿宋" w:hAnsi="仿宋" w:eastAsia="仿宋" w:cs="仿宋"/>
          <w:color w:val="000000" w:themeColor="text1"/>
          <w:sz w:val="32"/>
          <w:szCs w:val="32"/>
          <w14:textFill>
            <w14:solidFill>
              <w14:schemeClr w14:val="tx1"/>
            </w14:solidFill>
          </w14:textFill>
        </w:rPr>
      </w:pPr>
      <w:bookmarkStart w:id="5" w:name="_GoBack"/>
      <w:bookmarkEnd w:id="5"/>
    </w:p>
    <w:p>
      <w:pPr>
        <w:adjustRightInd w:val="0"/>
        <w:snapToGrid w:val="0"/>
        <w:spacing w:line="360" w:lineRule="exact"/>
        <w:jc w:val="center"/>
        <w:rPr>
          <w:rFonts w:hint="eastAsia"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lang w:val="en-US" w:eastAsia="zh-CN"/>
          <w14:textFill>
            <w14:solidFill>
              <w14:schemeClr w14:val="tx1"/>
            </w14:solidFill>
          </w14:textFill>
        </w:rPr>
        <w:t>表1</w:t>
      </w:r>
      <w:r>
        <w:rPr>
          <w:rFonts w:hint="eastAsia" w:ascii="宋体" w:hAnsi="宋体" w:cs="宋体"/>
          <w:b/>
          <w:bCs/>
          <w:color w:val="000000" w:themeColor="text1"/>
          <w:szCs w:val="21"/>
          <w:lang w:eastAsia="zh-CN"/>
          <w14:textFill>
            <w14:solidFill>
              <w14:schemeClr w14:val="tx1"/>
            </w14:solidFill>
          </w14:textFill>
        </w:rPr>
        <w:t>：普通本科专业</w:t>
      </w:r>
      <w:r>
        <w:rPr>
          <w:rFonts w:hint="eastAsia" w:ascii="宋体" w:hAnsi="宋体" w:cs="宋体"/>
          <w:b/>
          <w:bCs/>
          <w:color w:val="000000" w:themeColor="text1"/>
          <w:szCs w:val="21"/>
          <w14:textFill>
            <w14:solidFill>
              <w14:schemeClr w14:val="tx1"/>
            </w14:solidFill>
          </w14:textFill>
        </w:rPr>
        <w:t>通识大类课程（含思政课、公共基础课</w:t>
      </w:r>
      <w:r>
        <w:rPr>
          <w:rFonts w:hint="eastAsia" w:ascii="宋体" w:hAnsi="宋体" w:cs="宋体"/>
          <w:b/>
          <w:bCs/>
          <w:color w:val="000000" w:themeColor="text1"/>
          <w:szCs w:val="21"/>
          <w:lang w:eastAsia="zh-CN"/>
          <w14:textFill>
            <w14:solidFill>
              <w14:schemeClr w14:val="tx1"/>
            </w14:solidFill>
          </w14:textFill>
        </w:rPr>
        <w:t>、通识教育必修课</w:t>
      </w:r>
      <w:r>
        <w:rPr>
          <w:rFonts w:hint="eastAsia" w:ascii="宋体" w:hAnsi="宋体" w:cs="宋体"/>
          <w:b/>
          <w:bCs/>
          <w:color w:val="000000" w:themeColor="text1"/>
          <w:szCs w:val="21"/>
          <w14:textFill>
            <w14:solidFill>
              <w14:schemeClr w14:val="tx1"/>
            </w14:solidFill>
          </w14:textFill>
        </w:rPr>
        <w:t>）一览表</w:t>
      </w:r>
    </w:p>
    <w:tbl>
      <w:tblPr>
        <w:tblStyle w:val="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4"/>
        <w:gridCol w:w="337"/>
        <w:gridCol w:w="795"/>
        <w:gridCol w:w="2588"/>
        <w:gridCol w:w="350"/>
        <w:gridCol w:w="336"/>
        <w:gridCol w:w="406"/>
        <w:gridCol w:w="383"/>
        <w:gridCol w:w="396"/>
        <w:gridCol w:w="383"/>
        <w:gridCol w:w="383"/>
        <w:gridCol w:w="356"/>
        <w:gridCol w:w="406"/>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blHeader/>
          <w:jc w:val="center"/>
        </w:trPr>
        <w:tc>
          <w:tcPr>
            <w:tcW w:w="424"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课程类别</w:t>
            </w:r>
          </w:p>
        </w:tc>
        <w:tc>
          <w:tcPr>
            <w:tcW w:w="337"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课程序号</w:t>
            </w:r>
          </w:p>
        </w:tc>
        <w:tc>
          <w:tcPr>
            <w:tcW w:w="795"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课程代码</w:t>
            </w:r>
          </w:p>
        </w:tc>
        <w:tc>
          <w:tcPr>
            <w:tcW w:w="2588"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课程名称</w:t>
            </w:r>
          </w:p>
        </w:tc>
        <w:tc>
          <w:tcPr>
            <w:tcW w:w="350"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w:t>
            </w:r>
          </w:p>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w:t>
            </w:r>
          </w:p>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时</w:t>
            </w:r>
          </w:p>
        </w:tc>
        <w:tc>
          <w:tcPr>
            <w:tcW w:w="336"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w:t>
            </w:r>
          </w:p>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w:t>
            </w:r>
          </w:p>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w:t>
            </w:r>
          </w:p>
        </w:tc>
        <w:tc>
          <w:tcPr>
            <w:tcW w:w="1951" w:type="dxa"/>
            <w:gridSpan w:val="5"/>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学时分配</w:t>
            </w:r>
          </w:p>
        </w:tc>
        <w:tc>
          <w:tcPr>
            <w:tcW w:w="356"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开课学期</w:t>
            </w:r>
          </w:p>
        </w:tc>
        <w:tc>
          <w:tcPr>
            <w:tcW w:w="406"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考核方式</w:t>
            </w:r>
          </w:p>
        </w:tc>
        <w:tc>
          <w:tcPr>
            <w:tcW w:w="1074"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适用专业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6" w:hRule="atLeast"/>
          <w:tblHeader/>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2588" w:type="dxa"/>
            <w:vMerge w:val="continue"/>
            <w:vAlign w:val="center"/>
          </w:tcPr>
          <w:p>
            <w:pPr>
              <w:spacing w:line="240" w:lineRule="exact"/>
              <w:jc w:val="left"/>
              <w:rPr>
                <w:color w:val="000000" w:themeColor="text1"/>
                <w:sz w:val="18"/>
                <w:szCs w:val="18"/>
                <w14:textFill>
                  <w14:solidFill>
                    <w14:schemeClr w14:val="tx1"/>
                  </w14:solidFill>
                </w14:textFill>
              </w:rPr>
            </w:pPr>
          </w:p>
        </w:tc>
        <w:tc>
          <w:tcPr>
            <w:tcW w:w="350"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6"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讲授</w:t>
            </w: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专题讲座</w:t>
            </w:r>
          </w:p>
        </w:tc>
        <w:tc>
          <w:tcPr>
            <w:tcW w:w="3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课程实践</w:t>
            </w: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课外实践</w:t>
            </w: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自主学习</w:t>
            </w:r>
          </w:p>
        </w:tc>
        <w:tc>
          <w:tcPr>
            <w:tcW w:w="356"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406"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1074" w:type="dxa"/>
            <w:vMerge w:val="continue"/>
            <w:vAlign w:val="center"/>
          </w:tcPr>
          <w:p>
            <w:pPr>
              <w:spacing w:line="240" w:lineRule="exact"/>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24" w:type="dxa"/>
            <w:vMerge w:val="restart"/>
            <w:textDirection w:val="tbRlV"/>
            <w:vAlign w:val="center"/>
          </w:tcPr>
          <w:p>
            <w:pPr>
              <w:spacing w:line="240" w:lineRule="exact"/>
              <w:ind w:left="113" w:right="113"/>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思想政治课</w:t>
            </w:r>
          </w:p>
        </w:tc>
        <w:tc>
          <w:tcPr>
            <w:tcW w:w="337"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09015141</w:t>
            </w:r>
          </w:p>
        </w:tc>
        <w:tc>
          <w:tcPr>
            <w:tcW w:w="2588" w:type="dxa"/>
            <w:vAlign w:val="center"/>
          </w:tcPr>
          <w:p>
            <w:pPr>
              <w:spacing w:line="240" w:lineRule="exact"/>
              <w:jc w:val="left"/>
              <w:rPr>
                <w:rFonts w:hint="eastAsia"/>
                <w:b/>
                <w:bCs/>
                <w:color w:val="auto"/>
                <w:sz w:val="18"/>
                <w:szCs w:val="18"/>
              </w:rPr>
            </w:pPr>
            <w:r>
              <w:rPr>
                <w:rFonts w:hint="eastAsia"/>
                <w:b/>
                <w:bCs/>
                <w:color w:val="auto"/>
                <w:sz w:val="18"/>
                <w:szCs w:val="18"/>
              </w:rPr>
              <w:t>思想道德与法治</w:t>
            </w:r>
          </w:p>
          <w:p>
            <w:pPr>
              <w:spacing w:line="240" w:lineRule="exact"/>
              <w:jc w:val="left"/>
              <w:rPr>
                <w:color w:val="000000" w:themeColor="text1"/>
                <w:sz w:val="18"/>
                <w:szCs w:val="18"/>
                <w14:textFill>
                  <w14:solidFill>
                    <w14:schemeClr w14:val="tx1"/>
                  </w14:solidFill>
                </w14:textFill>
              </w:rPr>
            </w:pPr>
            <w:r>
              <w:rPr>
                <w:color w:val="auto"/>
                <w:kern w:val="0"/>
                <w:sz w:val="18"/>
                <w:szCs w:val="18"/>
              </w:rPr>
              <w:t xml:space="preserve">Ideological </w:t>
            </w:r>
            <w:r>
              <w:rPr>
                <w:color w:val="auto"/>
                <w:sz w:val="18"/>
                <w:szCs w:val="18"/>
              </w:rPr>
              <w:t>and Moral Cultivation and Fundamentals of Law</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09015271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中国近现代史纲要</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Outline of Chinese Modern History</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09025331</w:t>
            </w:r>
          </w:p>
        </w:tc>
        <w:tc>
          <w:tcPr>
            <w:tcW w:w="2588" w:type="dxa"/>
            <w:vAlign w:val="center"/>
          </w:tcPr>
          <w:p>
            <w:pPr>
              <w:spacing w:line="240" w:lineRule="exact"/>
              <w:jc w:val="left"/>
              <w:rPr>
                <w:b/>
                <w:bCs/>
                <w:color w:val="auto"/>
                <w:sz w:val="18"/>
                <w:szCs w:val="18"/>
              </w:rPr>
            </w:pPr>
            <w:r>
              <w:rPr>
                <w:b/>
                <w:bCs/>
                <w:color w:val="auto"/>
                <w:sz w:val="18"/>
                <w:szCs w:val="18"/>
              </w:rPr>
              <w:t>马克思主义基本原理</w:t>
            </w:r>
          </w:p>
          <w:p>
            <w:pPr>
              <w:spacing w:line="240" w:lineRule="exact"/>
              <w:jc w:val="left"/>
              <w:rPr>
                <w:color w:val="000000" w:themeColor="text1"/>
                <w:sz w:val="18"/>
                <w:szCs w:val="18"/>
                <w14:textFill>
                  <w14:solidFill>
                    <w14:schemeClr w14:val="tx1"/>
                  </w14:solidFill>
                </w14:textFill>
              </w:rPr>
            </w:pPr>
            <w:r>
              <w:rPr>
                <w:color w:val="auto"/>
                <w:sz w:val="18"/>
                <w:szCs w:val="18"/>
              </w:rPr>
              <w:t>Introduction to the Basic Principles of Marxism</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09025381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毛泽东思想和中国特色社会主义理论体系概论</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Introduction to Mao Zedong Thought and Theoretical System of Socialism with Chinese Characteristics</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80</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72</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09015251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形势与政策(一)</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Situation and Policy(Ⅰ)</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3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考查</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09015221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形势与政策(二)</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Situation and Policy(Ⅱ)</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3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考查</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09015231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形势与政策(三)</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Situation and Policy(Ⅲ)</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3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考查</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09015241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形势与政策(四)</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Situation and Policy(Ⅳ)</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3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考查</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09015201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形势与政策(五)</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Situation and Policy(</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 5 \* ROMAN \* MERGEFORMAT </w:instrText>
            </w:r>
            <w:r>
              <w:rPr>
                <w:color w:val="000000" w:themeColor="text1"/>
                <w:sz w:val="18"/>
                <w:szCs w:val="18"/>
                <w14:textFill>
                  <w14:solidFill>
                    <w14:schemeClr w14:val="tx1"/>
                  </w14:solidFill>
                </w14:textFill>
              </w:rPr>
              <w:fldChar w:fldCharType="separate"/>
            </w:r>
            <w:r>
              <w:rPr>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fldChar w:fldCharType="end"/>
            </w:r>
            <w:r>
              <w:rPr>
                <w:color w:val="000000" w:themeColor="text1"/>
                <w:sz w:val="18"/>
                <w:szCs w:val="18"/>
                <w14:textFill>
                  <w14:solidFill>
                    <w14:schemeClr w14:val="tx1"/>
                  </w14:solidFill>
                </w14:textFill>
              </w:rPr>
              <w:t>)</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3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考查</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09015211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形势与政策(六)</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Situation and Policy(</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 6 \* ROMAN \* MERGEFORMAT </w:instrText>
            </w:r>
            <w:r>
              <w:rPr>
                <w:color w:val="000000" w:themeColor="text1"/>
                <w:sz w:val="18"/>
                <w:szCs w:val="18"/>
                <w14:textFill>
                  <w14:solidFill>
                    <w14:schemeClr w14:val="tx1"/>
                  </w14:solidFill>
                </w14:textFill>
              </w:rPr>
              <w:fldChar w:fldCharType="separate"/>
            </w:r>
            <w:r>
              <w:rPr>
                <w:color w:val="000000" w:themeColor="text1"/>
                <w:sz w:val="18"/>
                <w:szCs w:val="18"/>
                <w14:textFill>
                  <w14:solidFill>
                    <w14:schemeClr w14:val="tx1"/>
                  </w14:solidFill>
                </w14:textFill>
              </w:rPr>
              <w:t>VI</w:t>
            </w:r>
            <w:r>
              <w:rPr>
                <w:color w:val="000000" w:themeColor="text1"/>
                <w:sz w:val="18"/>
                <w:szCs w:val="18"/>
                <w14:textFill>
                  <w14:solidFill>
                    <w14:schemeClr w14:val="tx1"/>
                  </w14:solidFill>
                </w14:textFill>
              </w:rPr>
              <w:fldChar w:fldCharType="end"/>
            </w:r>
            <w:r>
              <w:rPr>
                <w:color w:val="000000" w:themeColor="text1"/>
                <w:sz w:val="18"/>
                <w:szCs w:val="18"/>
                <w14:textFill>
                  <w14:solidFill>
                    <w14:schemeClr w14:val="tx1"/>
                  </w14:solidFill>
                </w14:textFill>
              </w:rPr>
              <w:t>)</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3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考查</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09015261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形势与政策(七)</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Situation and Policy(</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 7 \* ROMAN \* MERGEFORMAT </w:instrText>
            </w:r>
            <w:r>
              <w:rPr>
                <w:color w:val="000000" w:themeColor="text1"/>
                <w:sz w:val="18"/>
                <w:szCs w:val="18"/>
                <w14:textFill>
                  <w14:solidFill>
                    <w14:schemeClr w14:val="tx1"/>
                  </w14:solidFill>
                </w14:textFill>
              </w:rPr>
              <w:fldChar w:fldCharType="separate"/>
            </w:r>
            <w:r>
              <w:rPr>
                <w:color w:val="000000" w:themeColor="text1"/>
                <w:sz w:val="18"/>
                <w:szCs w:val="18"/>
                <w14:textFill>
                  <w14:solidFill>
                    <w14:schemeClr w14:val="tx1"/>
                  </w14:solidFill>
                </w14:textFill>
              </w:rPr>
              <w:t>VII</w:t>
            </w:r>
            <w:r>
              <w:rPr>
                <w:color w:val="000000" w:themeColor="text1"/>
                <w:sz w:val="18"/>
                <w:szCs w:val="18"/>
                <w14:textFill>
                  <w14:solidFill>
                    <w14:schemeClr w14:val="tx1"/>
                  </w14:solidFill>
                </w14:textFill>
              </w:rPr>
              <w:fldChar w:fldCharType="end"/>
            </w:r>
            <w:r>
              <w:rPr>
                <w:color w:val="000000" w:themeColor="text1"/>
                <w:sz w:val="18"/>
                <w:szCs w:val="18"/>
                <w14:textFill>
                  <w14:solidFill>
                    <w14:schemeClr w14:val="tx1"/>
                  </w14:solidFill>
                </w14:textFill>
              </w:rPr>
              <w:t>)</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3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考查</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09015281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形势与政策（八）</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Situation and Policy(</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 7 \* ROMAN \* MERGEFORMAT </w:instrText>
            </w:r>
            <w:r>
              <w:rPr>
                <w:color w:val="000000" w:themeColor="text1"/>
                <w:sz w:val="18"/>
                <w:szCs w:val="18"/>
                <w14:textFill>
                  <w14:solidFill>
                    <w14:schemeClr w14:val="tx1"/>
                  </w14:solidFill>
                </w14:textFill>
              </w:rPr>
              <w:fldChar w:fldCharType="separate"/>
            </w:r>
            <w:r>
              <w:rPr>
                <w:color w:val="000000" w:themeColor="text1"/>
                <w:sz w:val="18"/>
                <w:szCs w:val="18"/>
                <w14:textFill>
                  <w14:solidFill>
                    <w14:schemeClr w14:val="tx1"/>
                  </w14:solidFill>
                </w14:textFill>
              </w:rPr>
              <w:t>VII</w:t>
            </w:r>
            <w:r>
              <w:rPr>
                <w:color w:val="000000" w:themeColor="text1"/>
                <w:sz w:val="18"/>
                <w:szCs w:val="18"/>
                <w14:textFill>
                  <w14:solidFill>
                    <w14:schemeClr w14:val="tx1"/>
                  </w14:solidFill>
                </w14:textFill>
              </w:rPr>
              <w:fldChar w:fldCharType="end"/>
            </w:r>
            <w:r>
              <w:rPr>
                <w:color w:val="000000" w:themeColor="text1"/>
                <w:sz w:val="18"/>
                <w:szCs w:val="18"/>
                <w14:textFill>
                  <w14:solidFill>
                    <w14:schemeClr w14:val="tx1"/>
                  </w14:solidFill>
                </w14:textFill>
              </w:rPr>
              <w:t>I)</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考查</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720" w:type="dxa"/>
            <w:gridSpan w:val="3"/>
            <w:vAlign w:val="center"/>
          </w:tcPr>
          <w:p>
            <w:pPr>
              <w:spacing w:line="240" w:lineRule="exact"/>
              <w:jc w:val="left"/>
              <w:rPr>
                <w:b/>
                <w:bCs/>
                <w:color w:val="auto"/>
                <w:sz w:val="18"/>
                <w:szCs w:val="18"/>
              </w:rPr>
            </w:pPr>
            <w:r>
              <w:rPr>
                <w:b/>
                <w:bCs/>
                <w:color w:val="auto"/>
                <w:sz w:val="18"/>
                <w:szCs w:val="18"/>
              </w:rPr>
              <w:t>小计</w:t>
            </w:r>
          </w:p>
        </w:tc>
        <w:tc>
          <w:tcPr>
            <w:tcW w:w="350" w:type="dxa"/>
            <w:vAlign w:val="center"/>
          </w:tcPr>
          <w:p>
            <w:pPr>
              <w:spacing w:line="240" w:lineRule="exact"/>
              <w:jc w:val="center"/>
              <w:rPr>
                <w:rFonts w:hint="default" w:eastAsia="宋体"/>
                <w:b/>
                <w:bCs/>
                <w:color w:val="auto"/>
                <w:sz w:val="18"/>
                <w:szCs w:val="18"/>
                <w:lang w:val="en-US" w:eastAsia="zh-CN"/>
              </w:rPr>
            </w:pPr>
            <w:r>
              <w:rPr>
                <w:rFonts w:hint="eastAsia" w:ascii="Times New Roman" w:eastAsia="宋体"/>
                <w:b/>
                <w:bCs/>
                <w:color w:val="auto"/>
                <w:sz w:val="18"/>
                <w:szCs w:val="18"/>
                <w:lang w:val="en-US" w:eastAsia="zh-CN"/>
              </w:rPr>
              <w:t>288</w:t>
            </w:r>
          </w:p>
        </w:tc>
        <w:tc>
          <w:tcPr>
            <w:tcW w:w="336" w:type="dxa"/>
            <w:vAlign w:val="center"/>
          </w:tcPr>
          <w:p>
            <w:pPr>
              <w:spacing w:line="240" w:lineRule="exact"/>
              <w:jc w:val="center"/>
              <w:rPr>
                <w:rFonts w:hint="default" w:eastAsia="宋体"/>
                <w:b/>
                <w:bCs/>
                <w:color w:val="auto"/>
                <w:sz w:val="18"/>
                <w:szCs w:val="18"/>
                <w:lang w:val="en-US" w:eastAsia="zh-CN"/>
              </w:rPr>
            </w:pPr>
            <w:r>
              <w:rPr>
                <w:rFonts w:hint="eastAsia" w:ascii="Times New Roman" w:eastAsia="宋体"/>
                <w:b/>
                <w:bCs/>
                <w:color w:val="auto"/>
                <w:sz w:val="18"/>
                <w:szCs w:val="18"/>
                <w:lang w:val="en-US" w:eastAsia="zh-CN"/>
              </w:rPr>
              <w:t>16</w:t>
            </w:r>
          </w:p>
        </w:tc>
        <w:tc>
          <w:tcPr>
            <w:tcW w:w="406" w:type="dxa"/>
            <w:vAlign w:val="center"/>
          </w:tcPr>
          <w:p>
            <w:pPr>
              <w:spacing w:line="240" w:lineRule="exact"/>
              <w:jc w:val="center"/>
              <w:rPr>
                <w:rFonts w:hint="default" w:eastAsia="宋体"/>
                <w:b/>
                <w:bCs/>
                <w:color w:val="auto"/>
                <w:sz w:val="18"/>
                <w:szCs w:val="18"/>
                <w:lang w:val="en-US" w:eastAsia="zh-CN"/>
              </w:rPr>
            </w:pPr>
            <w:r>
              <w:rPr>
                <w:rFonts w:hint="eastAsia" w:ascii="Times New Roman" w:eastAsia="宋体"/>
                <w:b/>
                <w:bCs/>
                <w:color w:val="auto"/>
                <w:sz w:val="18"/>
                <w:szCs w:val="18"/>
                <w:lang w:val="en-US" w:eastAsia="zh-CN"/>
              </w:rPr>
              <w:t>224</w:t>
            </w:r>
          </w:p>
        </w:tc>
        <w:tc>
          <w:tcPr>
            <w:tcW w:w="383" w:type="dxa"/>
            <w:vAlign w:val="center"/>
          </w:tcPr>
          <w:p>
            <w:pPr>
              <w:spacing w:line="240" w:lineRule="exact"/>
              <w:jc w:val="center"/>
              <w:rPr>
                <w:b/>
                <w:bCs/>
                <w:color w:val="auto"/>
                <w:sz w:val="18"/>
                <w:szCs w:val="18"/>
              </w:rPr>
            </w:pPr>
          </w:p>
        </w:tc>
        <w:tc>
          <w:tcPr>
            <w:tcW w:w="396" w:type="dxa"/>
            <w:vAlign w:val="center"/>
          </w:tcPr>
          <w:p>
            <w:pPr>
              <w:spacing w:line="240" w:lineRule="exact"/>
              <w:jc w:val="center"/>
              <w:rPr>
                <w:b/>
                <w:bCs/>
                <w:color w:val="auto"/>
                <w:sz w:val="18"/>
                <w:szCs w:val="18"/>
              </w:rPr>
            </w:pPr>
          </w:p>
        </w:tc>
        <w:tc>
          <w:tcPr>
            <w:tcW w:w="383" w:type="dxa"/>
            <w:vAlign w:val="center"/>
          </w:tcPr>
          <w:p>
            <w:pPr>
              <w:spacing w:line="240" w:lineRule="exact"/>
              <w:jc w:val="center"/>
              <w:rPr>
                <w:b/>
                <w:bCs/>
                <w:color w:val="auto"/>
                <w:sz w:val="18"/>
                <w:szCs w:val="18"/>
              </w:rPr>
            </w:pPr>
            <w:r>
              <w:rPr>
                <w:b/>
                <w:bCs/>
                <w:color w:val="auto"/>
                <w:sz w:val="18"/>
                <w:szCs w:val="18"/>
              </w:rPr>
              <w:t>64</w:t>
            </w:r>
          </w:p>
        </w:tc>
        <w:tc>
          <w:tcPr>
            <w:tcW w:w="383" w:type="dxa"/>
            <w:vAlign w:val="center"/>
          </w:tcPr>
          <w:p>
            <w:pPr>
              <w:spacing w:line="240" w:lineRule="exact"/>
              <w:jc w:val="center"/>
              <w:rPr>
                <w:b/>
                <w:bCs/>
                <w:color w:val="auto"/>
                <w:sz w:val="18"/>
                <w:szCs w:val="18"/>
              </w:rPr>
            </w:pPr>
          </w:p>
        </w:tc>
        <w:tc>
          <w:tcPr>
            <w:tcW w:w="356" w:type="dxa"/>
            <w:vAlign w:val="center"/>
          </w:tcPr>
          <w:p>
            <w:pPr>
              <w:spacing w:line="240" w:lineRule="exact"/>
              <w:jc w:val="center"/>
              <w:rPr>
                <w:b/>
                <w:bCs/>
                <w:color w:val="auto"/>
                <w:sz w:val="18"/>
                <w:szCs w:val="18"/>
              </w:rPr>
            </w:pPr>
          </w:p>
        </w:tc>
        <w:tc>
          <w:tcPr>
            <w:tcW w:w="406" w:type="dxa"/>
            <w:vAlign w:val="center"/>
          </w:tcPr>
          <w:p>
            <w:pPr>
              <w:spacing w:line="240" w:lineRule="exact"/>
              <w:jc w:val="center"/>
              <w:rPr>
                <w:b/>
                <w:bCs/>
                <w:color w:val="auto"/>
                <w:sz w:val="18"/>
                <w:szCs w:val="18"/>
              </w:rPr>
            </w:pPr>
          </w:p>
        </w:tc>
        <w:tc>
          <w:tcPr>
            <w:tcW w:w="1074" w:type="dxa"/>
            <w:vAlign w:val="center"/>
          </w:tcPr>
          <w:p>
            <w:pPr>
              <w:spacing w:line="240" w:lineRule="exact"/>
              <w:jc w:val="center"/>
              <w:rPr>
                <w:b/>
                <w:bCs/>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24" w:type="dxa"/>
            <w:vMerge w:val="restart"/>
            <w:textDirection w:val="tbRlV"/>
            <w:vAlign w:val="center"/>
          </w:tcPr>
          <w:p>
            <w:pPr>
              <w:spacing w:line="240" w:lineRule="exact"/>
              <w:ind w:left="113" w:right="113"/>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公共基础必修课</w:t>
            </w:r>
          </w:p>
        </w:tc>
        <w:tc>
          <w:tcPr>
            <w:tcW w:w="337"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08013081</w:t>
            </w:r>
          </w:p>
        </w:tc>
        <w:tc>
          <w:tcPr>
            <w:tcW w:w="2588" w:type="dxa"/>
            <w:vAlign w:val="center"/>
          </w:tcPr>
          <w:p>
            <w:pPr>
              <w:spacing w:line="240" w:lineRule="exact"/>
              <w:jc w:val="left"/>
              <w:rPr>
                <w:color w:val="auto"/>
                <w:sz w:val="18"/>
                <w:szCs w:val="18"/>
              </w:rPr>
            </w:pPr>
            <w:r>
              <w:rPr>
                <w:color w:val="auto"/>
                <w:sz w:val="18"/>
                <w:szCs w:val="18"/>
              </w:rPr>
              <w:t>大学语文</w:t>
            </w:r>
          </w:p>
          <w:p>
            <w:pPr>
              <w:spacing w:line="240" w:lineRule="exact"/>
              <w:jc w:val="left"/>
              <w:rPr>
                <w:color w:val="auto"/>
                <w:sz w:val="18"/>
                <w:szCs w:val="18"/>
              </w:rPr>
            </w:pPr>
            <w:r>
              <w:rPr>
                <w:color w:val="auto"/>
                <w:sz w:val="18"/>
                <w:szCs w:val="18"/>
              </w:rPr>
              <w:t>College Chinese</w:t>
            </w:r>
          </w:p>
        </w:tc>
        <w:tc>
          <w:tcPr>
            <w:tcW w:w="350" w:type="dxa"/>
            <w:vAlign w:val="center"/>
          </w:tcPr>
          <w:p>
            <w:pPr>
              <w:spacing w:line="240" w:lineRule="exact"/>
              <w:jc w:val="center"/>
              <w:rPr>
                <w:color w:val="auto"/>
                <w:sz w:val="18"/>
                <w:szCs w:val="18"/>
              </w:rPr>
            </w:pPr>
            <w:r>
              <w:rPr>
                <w:color w:val="auto"/>
                <w:sz w:val="18"/>
                <w:szCs w:val="18"/>
              </w:rPr>
              <w:t>48</w:t>
            </w:r>
          </w:p>
        </w:tc>
        <w:tc>
          <w:tcPr>
            <w:tcW w:w="336" w:type="dxa"/>
            <w:vAlign w:val="center"/>
          </w:tcPr>
          <w:p>
            <w:pPr>
              <w:spacing w:line="240" w:lineRule="exact"/>
              <w:jc w:val="center"/>
              <w:rPr>
                <w:color w:val="auto"/>
                <w:sz w:val="18"/>
                <w:szCs w:val="18"/>
              </w:rPr>
            </w:pPr>
            <w:r>
              <w:rPr>
                <w:color w:val="auto"/>
                <w:sz w:val="18"/>
                <w:szCs w:val="18"/>
              </w:rPr>
              <w:t>2</w:t>
            </w:r>
          </w:p>
        </w:tc>
        <w:tc>
          <w:tcPr>
            <w:tcW w:w="406" w:type="dxa"/>
            <w:vAlign w:val="center"/>
          </w:tcPr>
          <w:p>
            <w:pPr>
              <w:spacing w:line="240" w:lineRule="exact"/>
              <w:jc w:val="center"/>
              <w:rPr>
                <w:color w:val="auto"/>
                <w:sz w:val="18"/>
                <w:szCs w:val="18"/>
              </w:rPr>
            </w:pPr>
            <w:r>
              <w:rPr>
                <w:color w:val="auto"/>
                <w:sz w:val="18"/>
                <w:szCs w:val="18"/>
              </w:rPr>
              <w:t>32</w:t>
            </w:r>
          </w:p>
        </w:tc>
        <w:tc>
          <w:tcPr>
            <w:tcW w:w="383" w:type="dxa"/>
            <w:vAlign w:val="center"/>
          </w:tcPr>
          <w:p>
            <w:pPr>
              <w:spacing w:line="240" w:lineRule="exact"/>
              <w:jc w:val="center"/>
              <w:rPr>
                <w:color w:val="auto"/>
                <w:sz w:val="18"/>
                <w:szCs w:val="18"/>
              </w:rPr>
            </w:pPr>
          </w:p>
        </w:tc>
        <w:tc>
          <w:tcPr>
            <w:tcW w:w="396" w:type="dxa"/>
            <w:vAlign w:val="center"/>
          </w:tcPr>
          <w:p>
            <w:pPr>
              <w:spacing w:line="240" w:lineRule="exact"/>
              <w:jc w:val="center"/>
              <w:rPr>
                <w:color w:val="auto"/>
                <w:sz w:val="18"/>
                <w:szCs w:val="18"/>
              </w:rPr>
            </w:pPr>
          </w:p>
        </w:tc>
        <w:tc>
          <w:tcPr>
            <w:tcW w:w="383" w:type="dxa"/>
            <w:vAlign w:val="center"/>
          </w:tcPr>
          <w:p>
            <w:pPr>
              <w:spacing w:line="240" w:lineRule="exact"/>
              <w:jc w:val="center"/>
              <w:rPr>
                <w:color w:val="auto"/>
                <w:sz w:val="18"/>
                <w:szCs w:val="18"/>
              </w:rPr>
            </w:pPr>
            <w:r>
              <w:rPr>
                <w:color w:val="auto"/>
                <w:sz w:val="18"/>
                <w:szCs w:val="18"/>
              </w:rPr>
              <w:t>16</w:t>
            </w:r>
          </w:p>
        </w:tc>
        <w:tc>
          <w:tcPr>
            <w:tcW w:w="383" w:type="dxa"/>
            <w:vAlign w:val="center"/>
          </w:tcPr>
          <w:p>
            <w:pPr>
              <w:spacing w:line="240" w:lineRule="exact"/>
              <w:jc w:val="center"/>
              <w:rPr>
                <w:color w:val="auto"/>
                <w:sz w:val="18"/>
                <w:szCs w:val="18"/>
              </w:rPr>
            </w:pPr>
          </w:p>
        </w:tc>
        <w:tc>
          <w:tcPr>
            <w:tcW w:w="356" w:type="dxa"/>
            <w:vAlign w:val="center"/>
          </w:tcPr>
          <w:p>
            <w:pPr>
              <w:spacing w:line="240" w:lineRule="exact"/>
              <w:jc w:val="center"/>
              <w:rPr>
                <w:color w:val="auto"/>
                <w:sz w:val="18"/>
                <w:szCs w:val="18"/>
              </w:rPr>
            </w:pPr>
            <w:r>
              <w:rPr>
                <w:color w:val="auto"/>
                <w:sz w:val="18"/>
                <w:szCs w:val="18"/>
              </w:rPr>
              <w:t>1/2</w:t>
            </w:r>
          </w:p>
        </w:tc>
        <w:tc>
          <w:tcPr>
            <w:tcW w:w="406" w:type="dxa"/>
            <w:vAlign w:val="center"/>
          </w:tcPr>
          <w:p>
            <w:pPr>
              <w:spacing w:line="240" w:lineRule="exact"/>
              <w:jc w:val="center"/>
              <w:rPr>
                <w:color w:val="auto"/>
                <w:sz w:val="18"/>
                <w:szCs w:val="18"/>
              </w:rPr>
            </w:pPr>
            <w:r>
              <w:rPr>
                <w:color w:val="auto"/>
                <w:sz w:val="18"/>
                <w:szCs w:val="18"/>
              </w:rPr>
              <w:t>考试</w:t>
            </w:r>
          </w:p>
        </w:tc>
        <w:tc>
          <w:tcPr>
            <w:tcW w:w="1074" w:type="dxa"/>
            <w:vAlign w:val="center"/>
          </w:tcPr>
          <w:p>
            <w:pPr>
              <w:spacing w:line="240" w:lineRule="exact"/>
              <w:jc w:val="center"/>
              <w:rPr>
                <w:rFonts w:hint="eastAsia" w:eastAsia="宋体"/>
                <w:color w:val="FF0000"/>
                <w:sz w:val="18"/>
                <w:szCs w:val="18"/>
                <w:lang w:eastAsia="zh-CN"/>
              </w:rPr>
            </w:pPr>
            <w:r>
              <w:rPr>
                <w:b/>
                <w:bCs/>
                <w:color w:val="FF0000"/>
                <w:sz w:val="18"/>
                <w:szCs w:val="18"/>
              </w:rPr>
              <w:t>全校各专业</w:t>
            </w:r>
            <w:r>
              <w:rPr>
                <w:rFonts w:hint="eastAsia" w:eastAsia="宋体"/>
                <w:b/>
                <w:bCs/>
                <w:color w:val="FF0000"/>
                <w:sz w:val="18"/>
                <w:szCs w:val="18"/>
                <w:lang w:eastAsia="zh-CN"/>
              </w:rPr>
              <w:t>，分学期开设，具体看表格下方备注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18" w:hRule="atLeast"/>
          <w:jc w:val="center"/>
        </w:trPr>
        <w:tc>
          <w:tcPr>
            <w:tcW w:w="424" w:type="dxa"/>
            <w:vMerge w:val="continue"/>
            <w:textDirection w:val="tbRlV"/>
            <w:vAlign w:val="center"/>
          </w:tcPr>
          <w:p>
            <w:pPr>
              <w:spacing w:line="240" w:lineRule="exact"/>
              <w:jc w:val="center"/>
              <w:rPr>
                <w:color w:val="000000" w:themeColor="text1"/>
                <w:sz w:val="18"/>
                <w:szCs w:val="18"/>
                <w14:textFill>
                  <w14:solidFill>
                    <w14:schemeClr w14:val="tx1"/>
                  </w14:solidFill>
                </w14:textFill>
              </w:rPr>
            </w:pPr>
          </w:p>
        </w:tc>
        <w:tc>
          <w:tcPr>
            <w:tcW w:w="337"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06021111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大学英语(一)</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College English(I)</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Merge w:val="restart"/>
            <w:vAlign w:val="center"/>
          </w:tcPr>
          <w:p>
            <w:pPr>
              <w:spacing w:line="240" w:lineRule="exact"/>
              <w:jc w:val="center"/>
              <w:rPr>
                <w:rFonts w:hint="eastAsia" w:eastAsia="宋体"/>
                <w:b/>
                <w:bCs/>
                <w:color w:val="FF0000"/>
                <w:sz w:val="18"/>
                <w:szCs w:val="18"/>
                <w:lang w:eastAsia="zh-CN"/>
              </w:rPr>
            </w:pPr>
            <w:r>
              <w:rPr>
                <w:b/>
                <w:bCs/>
                <w:color w:val="FF0000"/>
                <w:sz w:val="18"/>
                <w:szCs w:val="18"/>
              </w:rPr>
              <w:t>全校</w:t>
            </w:r>
            <w:r>
              <w:rPr>
                <w:rFonts w:hint="eastAsia" w:eastAsia="宋体"/>
                <w:b/>
                <w:bCs/>
                <w:color w:val="FF0000"/>
                <w:sz w:val="18"/>
                <w:szCs w:val="18"/>
                <w:lang w:eastAsia="zh-CN"/>
              </w:rPr>
              <w:t>非英语类</w:t>
            </w:r>
            <w:r>
              <w:rPr>
                <w:b/>
                <w:bCs/>
                <w:color w:val="FF0000"/>
                <w:sz w:val="18"/>
                <w:szCs w:val="18"/>
              </w:rPr>
              <w:t>各专业</w:t>
            </w:r>
            <w:r>
              <w:rPr>
                <w:rFonts w:hint="eastAsia" w:eastAsia="宋体"/>
                <w:b/>
                <w:bCs/>
                <w:color w:val="FF0000"/>
                <w:sz w:val="18"/>
                <w:szCs w:val="18"/>
                <w:lang w:eastAsia="zh-CN"/>
              </w:rPr>
              <w:t>；英语类专业开设二外课程</w:t>
            </w:r>
            <w:r>
              <w:rPr>
                <w:rFonts w:hint="eastAsia"/>
                <w:b/>
                <w:bCs/>
                <w:color w:val="FF0000"/>
                <w:sz w:val="18"/>
                <w:szCs w:val="18"/>
                <w:lang w:eastAsia="zh-CN"/>
              </w:rPr>
              <w:t>；厚生班、中外合作办学项目可根据培养目标自行设计相关外语课程。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dxa"/>
            <w:vMerge w:val="continue"/>
            <w:textDirection w:val="tbRlV"/>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06021051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大学英语(二)</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College English(II)</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Merge w:val="continue"/>
            <w:vAlign w:val="center"/>
          </w:tcPr>
          <w:p>
            <w:pPr>
              <w:spacing w:line="240" w:lineRule="exact"/>
              <w:jc w:val="center"/>
              <w:rPr>
                <w:rFonts w:hint="eastAsia" w:eastAsia="宋体"/>
                <w:b/>
                <w:bCs/>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2" w:hRule="atLeast"/>
          <w:jc w:val="center"/>
        </w:trPr>
        <w:tc>
          <w:tcPr>
            <w:tcW w:w="424" w:type="dxa"/>
            <w:vMerge w:val="continue"/>
            <w:textDirection w:val="tbRlV"/>
            <w:vAlign w:val="center"/>
          </w:tcPr>
          <w:p>
            <w:pPr>
              <w:spacing w:line="240" w:lineRule="exact"/>
              <w:jc w:val="center"/>
              <w:rPr>
                <w:color w:val="000000" w:themeColor="text1"/>
                <w:sz w:val="18"/>
                <w:szCs w:val="18"/>
                <w14:textFill>
                  <w14:solidFill>
                    <w14:schemeClr w14:val="tx1"/>
                  </w14:solidFill>
                </w14:textFill>
              </w:rPr>
            </w:pPr>
          </w:p>
        </w:tc>
        <w:tc>
          <w:tcPr>
            <w:tcW w:w="337"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04035251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大学计算机基础</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Fundamentals of Computers</w:t>
            </w:r>
          </w:p>
        </w:tc>
        <w:tc>
          <w:tcPr>
            <w:tcW w:w="350" w:type="dxa"/>
            <w:vAlign w:val="center"/>
          </w:tcPr>
          <w:p>
            <w:pPr>
              <w:spacing w:line="240" w:lineRule="exact"/>
              <w:jc w:val="center"/>
              <w:rPr>
                <w:rFonts w:hint="eastAsia" w:eastAsia="宋体"/>
                <w:color w:val="000000" w:themeColor="text1"/>
                <w:sz w:val="18"/>
                <w:szCs w:val="18"/>
                <w:lang w:eastAsia="zh-CN"/>
                <w14:textFill>
                  <w14:solidFill>
                    <w14:schemeClr w14:val="tx1"/>
                  </w14:solidFill>
                </w14:textFill>
              </w:rPr>
            </w:pPr>
            <w:r>
              <w:rPr>
                <w:color w:val="FF0000"/>
                <w:sz w:val="18"/>
                <w:szCs w:val="18"/>
              </w:rPr>
              <w:t>4</w:t>
            </w:r>
            <w:r>
              <w:rPr>
                <w:rFonts w:hint="eastAsia"/>
                <w:color w:val="FF0000"/>
                <w:sz w:val="18"/>
                <w:szCs w:val="18"/>
                <w:lang w:val="en-US" w:eastAsia="zh-CN"/>
              </w:rPr>
              <w:t>0</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06" w:type="dxa"/>
            <w:vAlign w:val="center"/>
          </w:tcPr>
          <w:p>
            <w:pPr>
              <w:spacing w:line="240" w:lineRule="exact"/>
              <w:jc w:val="center"/>
              <w:rPr>
                <w:rFonts w:hint="default" w:eastAsia="宋体"/>
                <w:color w:val="000000" w:themeColor="text1"/>
                <w:sz w:val="18"/>
                <w:szCs w:val="18"/>
                <w:lang w:val="en-US" w:eastAsia="zh-CN"/>
                <w14:textFill>
                  <w14:solidFill>
                    <w14:schemeClr w14:val="tx1"/>
                  </w14:solidFill>
                </w14:textFill>
              </w:rPr>
            </w:pPr>
            <w:r>
              <w:rPr>
                <w:rFonts w:hint="eastAsia"/>
                <w:color w:val="FF0000"/>
                <w:sz w:val="18"/>
                <w:szCs w:val="18"/>
                <w:lang w:val="en-US" w:eastAsia="zh-CN"/>
              </w:rPr>
              <w:t>24</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kern w:val="0"/>
                <w:sz w:val="18"/>
                <w:szCs w:val="18"/>
                <w14:textFill>
                  <w14:solidFill>
                    <w14:schemeClr w14:val="tx1"/>
                  </w14:solidFill>
                </w14:textFill>
              </w:rPr>
              <w:t>考试</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b/>
                <w:bCs/>
                <w:color w:val="FF0000"/>
                <w:sz w:val="18"/>
                <w:szCs w:val="18"/>
              </w:rPr>
              <w:t>非</w:t>
            </w:r>
            <w:r>
              <w:rPr>
                <w:rFonts w:hint="eastAsia" w:eastAsia="宋体"/>
                <w:b/>
                <w:bCs/>
                <w:color w:val="FF0000"/>
                <w:sz w:val="18"/>
                <w:szCs w:val="18"/>
                <w:lang w:eastAsia="zh-CN"/>
              </w:rPr>
              <w:t>信息技术与管理</w:t>
            </w:r>
            <w:r>
              <w:rPr>
                <w:b/>
                <w:bCs/>
                <w:color w:val="FF0000"/>
                <w:sz w:val="18"/>
                <w:szCs w:val="18"/>
              </w:rPr>
              <w:t>学院的专业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4" w:hRule="atLeast"/>
          <w:jc w:val="center"/>
        </w:trPr>
        <w:tc>
          <w:tcPr>
            <w:tcW w:w="424" w:type="dxa"/>
            <w:vMerge w:val="continue"/>
            <w:textDirection w:val="tbRlV"/>
            <w:vAlign w:val="center"/>
          </w:tcPr>
          <w:p>
            <w:pPr>
              <w:spacing w:line="240" w:lineRule="exact"/>
              <w:jc w:val="center"/>
              <w:rPr>
                <w:color w:val="000000" w:themeColor="text1"/>
                <w:sz w:val="18"/>
                <w:szCs w:val="18"/>
                <w14:textFill>
                  <w14:solidFill>
                    <w14:schemeClr w14:val="tx1"/>
                  </w14:solidFill>
                </w14:textFill>
              </w:rPr>
            </w:pPr>
          </w:p>
        </w:tc>
        <w:tc>
          <w:tcPr>
            <w:tcW w:w="337"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9</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10023731</w:t>
            </w:r>
          </w:p>
        </w:tc>
        <w:tc>
          <w:tcPr>
            <w:tcW w:w="2588" w:type="dxa"/>
            <w:vAlign w:val="center"/>
          </w:tcPr>
          <w:p>
            <w:pPr>
              <w:spacing w:line="240" w:lineRule="exact"/>
              <w:jc w:val="left"/>
              <w:rPr>
                <w:color w:val="auto"/>
                <w:sz w:val="18"/>
                <w:szCs w:val="18"/>
              </w:rPr>
            </w:pPr>
            <w:r>
              <w:rPr>
                <w:color w:val="auto"/>
                <w:sz w:val="18"/>
                <w:szCs w:val="18"/>
              </w:rPr>
              <w:t>高等数学Ⅲ(上)</w:t>
            </w:r>
          </w:p>
          <w:p>
            <w:pPr>
              <w:spacing w:line="240" w:lineRule="exact"/>
              <w:jc w:val="left"/>
              <w:rPr>
                <w:color w:val="auto"/>
                <w:sz w:val="18"/>
                <w:szCs w:val="18"/>
              </w:rPr>
            </w:pPr>
            <w:r>
              <w:rPr>
                <w:color w:val="auto"/>
                <w:sz w:val="18"/>
                <w:szCs w:val="18"/>
              </w:rPr>
              <w:t>Higher mathematics</w:t>
            </w:r>
          </w:p>
        </w:tc>
        <w:tc>
          <w:tcPr>
            <w:tcW w:w="350" w:type="dxa"/>
            <w:vAlign w:val="center"/>
          </w:tcPr>
          <w:p>
            <w:pPr>
              <w:spacing w:line="240" w:lineRule="exact"/>
              <w:jc w:val="center"/>
              <w:rPr>
                <w:color w:val="auto"/>
                <w:sz w:val="18"/>
                <w:szCs w:val="18"/>
              </w:rPr>
            </w:pPr>
            <w:r>
              <w:rPr>
                <w:color w:val="auto"/>
                <w:sz w:val="18"/>
                <w:szCs w:val="18"/>
              </w:rPr>
              <w:t>48</w:t>
            </w:r>
          </w:p>
        </w:tc>
        <w:tc>
          <w:tcPr>
            <w:tcW w:w="336" w:type="dxa"/>
            <w:vAlign w:val="center"/>
          </w:tcPr>
          <w:p>
            <w:pPr>
              <w:spacing w:line="240" w:lineRule="exact"/>
              <w:jc w:val="center"/>
              <w:rPr>
                <w:color w:val="auto"/>
                <w:sz w:val="18"/>
                <w:szCs w:val="18"/>
              </w:rPr>
            </w:pPr>
            <w:r>
              <w:rPr>
                <w:color w:val="auto"/>
                <w:sz w:val="18"/>
                <w:szCs w:val="18"/>
              </w:rPr>
              <w:t>3</w:t>
            </w:r>
          </w:p>
        </w:tc>
        <w:tc>
          <w:tcPr>
            <w:tcW w:w="406" w:type="dxa"/>
            <w:vAlign w:val="center"/>
          </w:tcPr>
          <w:p>
            <w:pPr>
              <w:spacing w:line="240" w:lineRule="exact"/>
              <w:jc w:val="center"/>
              <w:rPr>
                <w:color w:val="auto"/>
                <w:sz w:val="18"/>
                <w:szCs w:val="18"/>
              </w:rPr>
            </w:pPr>
            <w:r>
              <w:rPr>
                <w:color w:val="auto"/>
                <w:sz w:val="18"/>
                <w:szCs w:val="18"/>
              </w:rPr>
              <w:t>48</w:t>
            </w:r>
          </w:p>
        </w:tc>
        <w:tc>
          <w:tcPr>
            <w:tcW w:w="383" w:type="dxa"/>
            <w:vAlign w:val="center"/>
          </w:tcPr>
          <w:p>
            <w:pPr>
              <w:spacing w:line="240" w:lineRule="exact"/>
              <w:jc w:val="center"/>
              <w:rPr>
                <w:color w:val="auto"/>
                <w:sz w:val="18"/>
                <w:szCs w:val="18"/>
              </w:rPr>
            </w:pPr>
          </w:p>
        </w:tc>
        <w:tc>
          <w:tcPr>
            <w:tcW w:w="396" w:type="dxa"/>
            <w:vAlign w:val="center"/>
          </w:tcPr>
          <w:p>
            <w:pPr>
              <w:spacing w:line="240" w:lineRule="exact"/>
              <w:jc w:val="center"/>
              <w:rPr>
                <w:color w:val="auto"/>
                <w:sz w:val="18"/>
                <w:szCs w:val="18"/>
              </w:rPr>
            </w:pPr>
          </w:p>
        </w:tc>
        <w:tc>
          <w:tcPr>
            <w:tcW w:w="383" w:type="dxa"/>
            <w:vAlign w:val="center"/>
          </w:tcPr>
          <w:p>
            <w:pPr>
              <w:spacing w:line="240" w:lineRule="exact"/>
              <w:jc w:val="center"/>
              <w:rPr>
                <w:color w:val="auto"/>
                <w:sz w:val="18"/>
                <w:szCs w:val="18"/>
              </w:rPr>
            </w:pPr>
          </w:p>
        </w:tc>
        <w:tc>
          <w:tcPr>
            <w:tcW w:w="383" w:type="dxa"/>
            <w:vAlign w:val="center"/>
          </w:tcPr>
          <w:p>
            <w:pPr>
              <w:spacing w:line="240" w:lineRule="exact"/>
              <w:jc w:val="center"/>
              <w:rPr>
                <w:color w:val="auto"/>
                <w:sz w:val="18"/>
                <w:szCs w:val="18"/>
              </w:rPr>
            </w:pPr>
          </w:p>
        </w:tc>
        <w:tc>
          <w:tcPr>
            <w:tcW w:w="356" w:type="dxa"/>
            <w:vAlign w:val="center"/>
          </w:tcPr>
          <w:p>
            <w:pPr>
              <w:spacing w:line="240" w:lineRule="exact"/>
              <w:jc w:val="center"/>
              <w:rPr>
                <w:color w:val="auto"/>
                <w:sz w:val="18"/>
                <w:szCs w:val="18"/>
              </w:rPr>
            </w:pPr>
            <w:r>
              <w:rPr>
                <w:color w:val="auto"/>
                <w:sz w:val="18"/>
                <w:szCs w:val="18"/>
              </w:rPr>
              <w:t>1</w:t>
            </w:r>
          </w:p>
        </w:tc>
        <w:tc>
          <w:tcPr>
            <w:tcW w:w="406" w:type="dxa"/>
            <w:vAlign w:val="center"/>
          </w:tcPr>
          <w:p>
            <w:pPr>
              <w:spacing w:line="240" w:lineRule="exact"/>
              <w:jc w:val="center"/>
              <w:rPr>
                <w:color w:val="auto"/>
                <w:sz w:val="18"/>
                <w:szCs w:val="18"/>
              </w:rPr>
            </w:pPr>
            <w:r>
              <w:rPr>
                <w:color w:val="auto"/>
                <w:sz w:val="18"/>
                <w:szCs w:val="18"/>
              </w:rPr>
              <w:t>考试</w:t>
            </w:r>
          </w:p>
        </w:tc>
        <w:tc>
          <w:tcPr>
            <w:tcW w:w="1074" w:type="dxa"/>
            <w:vMerge w:val="restart"/>
            <w:vAlign w:val="center"/>
          </w:tcPr>
          <w:p>
            <w:pPr>
              <w:spacing w:line="240" w:lineRule="exact"/>
              <w:jc w:val="center"/>
              <w:rPr>
                <w:rFonts w:hint="eastAsia" w:eastAsia="宋体"/>
                <w:color w:val="FF0000"/>
                <w:sz w:val="18"/>
                <w:szCs w:val="18"/>
                <w:lang w:eastAsia="zh-CN"/>
              </w:rPr>
            </w:pPr>
            <w:r>
              <w:rPr>
                <w:b/>
                <w:bCs/>
                <w:color w:val="FF0000"/>
                <w:sz w:val="18"/>
                <w:szCs w:val="18"/>
              </w:rPr>
              <w:t>部分专业</w:t>
            </w:r>
            <w:r>
              <w:rPr>
                <w:rFonts w:hint="eastAsia" w:eastAsia="宋体"/>
                <w:b/>
                <w:bCs/>
                <w:color w:val="FF0000"/>
                <w:sz w:val="18"/>
                <w:szCs w:val="18"/>
                <w:lang w:eastAsia="zh-CN"/>
              </w:rPr>
              <w:t>；不同专业大学数学课程的开设参看表格下方备注</w:t>
            </w:r>
            <w:r>
              <w:rPr>
                <w:rFonts w:hint="eastAsia"/>
                <w:b/>
                <w:bCs/>
                <w:color w:val="FF0000"/>
                <w:sz w:val="18"/>
                <w:szCs w:val="18"/>
                <w:lang w:eastAsia="zh-CN"/>
              </w:rPr>
              <w:t>及数学类课程建议设置方案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textDirection w:val="tbRlV"/>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10023751</w:t>
            </w:r>
          </w:p>
        </w:tc>
        <w:tc>
          <w:tcPr>
            <w:tcW w:w="2588" w:type="dxa"/>
            <w:vAlign w:val="center"/>
          </w:tcPr>
          <w:p>
            <w:pPr>
              <w:spacing w:line="240" w:lineRule="exact"/>
              <w:jc w:val="left"/>
              <w:rPr>
                <w:color w:val="auto"/>
                <w:sz w:val="18"/>
                <w:szCs w:val="18"/>
              </w:rPr>
            </w:pPr>
            <w:r>
              <w:rPr>
                <w:color w:val="auto"/>
                <w:sz w:val="18"/>
                <w:szCs w:val="18"/>
              </w:rPr>
              <w:t>高等数学Ⅲ(下)</w:t>
            </w:r>
          </w:p>
          <w:p>
            <w:pPr>
              <w:spacing w:line="240" w:lineRule="exact"/>
              <w:jc w:val="left"/>
              <w:rPr>
                <w:color w:val="auto"/>
                <w:sz w:val="18"/>
                <w:szCs w:val="18"/>
              </w:rPr>
            </w:pPr>
            <w:r>
              <w:rPr>
                <w:color w:val="auto"/>
                <w:sz w:val="18"/>
                <w:szCs w:val="18"/>
              </w:rPr>
              <w:t>Higher mathematics</w:t>
            </w:r>
          </w:p>
        </w:tc>
        <w:tc>
          <w:tcPr>
            <w:tcW w:w="350" w:type="dxa"/>
            <w:vAlign w:val="center"/>
          </w:tcPr>
          <w:p>
            <w:pPr>
              <w:spacing w:line="240" w:lineRule="exact"/>
              <w:jc w:val="center"/>
              <w:rPr>
                <w:color w:val="auto"/>
                <w:sz w:val="18"/>
                <w:szCs w:val="18"/>
              </w:rPr>
            </w:pPr>
            <w:r>
              <w:rPr>
                <w:color w:val="auto"/>
                <w:sz w:val="18"/>
                <w:szCs w:val="18"/>
              </w:rPr>
              <w:t>48</w:t>
            </w:r>
          </w:p>
        </w:tc>
        <w:tc>
          <w:tcPr>
            <w:tcW w:w="336" w:type="dxa"/>
            <w:vAlign w:val="center"/>
          </w:tcPr>
          <w:p>
            <w:pPr>
              <w:spacing w:line="240" w:lineRule="exact"/>
              <w:jc w:val="center"/>
              <w:rPr>
                <w:color w:val="auto"/>
                <w:sz w:val="18"/>
                <w:szCs w:val="18"/>
              </w:rPr>
            </w:pPr>
            <w:r>
              <w:rPr>
                <w:color w:val="auto"/>
                <w:sz w:val="18"/>
                <w:szCs w:val="18"/>
              </w:rPr>
              <w:t>3</w:t>
            </w:r>
          </w:p>
        </w:tc>
        <w:tc>
          <w:tcPr>
            <w:tcW w:w="406" w:type="dxa"/>
            <w:vAlign w:val="center"/>
          </w:tcPr>
          <w:p>
            <w:pPr>
              <w:spacing w:line="240" w:lineRule="exact"/>
              <w:jc w:val="center"/>
              <w:rPr>
                <w:color w:val="auto"/>
                <w:sz w:val="18"/>
                <w:szCs w:val="18"/>
              </w:rPr>
            </w:pPr>
            <w:r>
              <w:rPr>
                <w:color w:val="auto"/>
                <w:sz w:val="18"/>
                <w:szCs w:val="18"/>
              </w:rPr>
              <w:t>48</w:t>
            </w:r>
          </w:p>
        </w:tc>
        <w:tc>
          <w:tcPr>
            <w:tcW w:w="383" w:type="dxa"/>
            <w:vAlign w:val="center"/>
          </w:tcPr>
          <w:p>
            <w:pPr>
              <w:spacing w:line="240" w:lineRule="exact"/>
              <w:jc w:val="center"/>
              <w:rPr>
                <w:color w:val="auto"/>
                <w:sz w:val="18"/>
                <w:szCs w:val="18"/>
              </w:rPr>
            </w:pPr>
          </w:p>
        </w:tc>
        <w:tc>
          <w:tcPr>
            <w:tcW w:w="396" w:type="dxa"/>
            <w:vAlign w:val="center"/>
          </w:tcPr>
          <w:p>
            <w:pPr>
              <w:spacing w:line="240" w:lineRule="exact"/>
              <w:jc w:val="center"/>
              <w:rPr>
                <w:color w:val="auto"/>
                <w:sz w:val="18"/>
                <w:szCs w:val="18"/>
              </w:rPr>
            </w:pPr>
          </w:p>
        </w:tc>
        <w:tc>
          <w:tcPr>
            <w:tcW w:w="383" w:type="dxa"/>
            <w:vAlign w:val="center"/>
          </w:tcPr>
          <w:p>
            <w:pPr>
              <w:spacing w:line="240" w:lineRule="exact"/>
              <w:jc w:val="center"/>
              <w:rPr>
                <w:color w:val="auto"/>
                <w:sz w:val="18"/>
                <w:szCs w:val="18"/>
              </w:rPr>
            </w:pPr>
          </w:p>
        </w:tc>
        <w:tc>
          <w:tcPr>
            <w:tcW w:w="383" w:type="dxa"/>
            <w:vAlign w:val="center"/>
          </w:tcPr>
          <w:p>
            <w:pPr>
              <w:spacing w:line="240" w:lineRule="exact"/>
              <w:jc w:val="center"/>
              <w:rPr>
                <w:color w:val="auto"/>
                <w:sz w:val="18"/>
                <w:szCs w:val="18"/>
              </w:rPr>
            </w:pPr>
          </w:p>
        </w:tc>
        <w:tc>
          <w:tcPr>
            <w:tcW w:w="356" w:type="dxa"/>
            <w:vAlign w:val="center"/>
          </w:tcPr>
          <w:p>
            <w:pPr>
              <w:spacing w:line="240" w:lineRule="exact"/>
              <w:jc w:val="center"/>
              <w:rPr>
                <w:color w:val="auto"/>
                <w:sz w:val="18"/>
                <w:szCs w:val="18"/>
              </w:rPr>
            </w:pPr>
            <w:r>
              <w:rPr>
                <w:color w:val="auto"/>
                <w:sz w:val="18"/>
                <w:szCs w:val="18"/>
              </w:rPr>
              <w:t>2</w:t>
            </w:r>
          </w:p>
        </w:tc>
        <w:tc>
          <w:tcPr>
            <w:tcW w:w="406" w:type="dxa"/>
            <w:vAlign w:val="center"/>
          </w:tcPr>
          <w:p>
            <w:pPr>
              <w:spacing w:line="240" w:lineRule="exact"/>
              <w:jc w:val="center"/>
              <w:rPr>
                <w:color w:val="auto"/>
                <w:sz w:val="18"/>
                <w:szCs w:val="18"/>
              </w:rPr>
            </w:pPr>
            <w:r>
              <w:rPr>
                <w:color w:val="auto"/>
                <w:sz w:val="18"/>
                <w:szCs w:val="18"/>
              </w:rPr>
              <w:t>考试</w:t>
            </w:r>
          </w:p>
        </w:tc>
        <w:tc>
          <w:tcPr>
            <w:tcW w:w="1074" w:type="dxa"/>
            <w:vMerge w:val="continue"/>
            <w:vAlign w:val="center"/>
          </w:tcPr>
          <w:p>
            <w:pPr>
              <w:spacing w:line="240" w:lineRule="exact"/>
              <w:jc w:val="center"/>
              <w:rPr>
                <w:rFonts w:hint="eastAsia" w:eastAsia="宋体"/>
                <w:color w:val="FF000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2" w:hRule="atLeast"/>
          <w:jc w:val="center"/>
        </w:trPr>
        <w:tc>
          <w:tcPr>
            <w:tcW w:w="424" w:type="dxa"/>
            <w:vMerge w:val="continue"/>
            <w:textDirection w:val="tbRlV"/>
            <w:vAlign w:val="center"/>
          </w:tcPr>
          <w:p>
            <w:pPr>
              <w:spacing w:line="240" w:lineRule="exact"/>
              <w:jc w:val="center"/>
              <w:rPr>
                <w:color w:val="000000" w:themeColor="text1"/>
                <w:sz w:val="18"/>
                <w:szCs w:val="18"/>
                <w14:textFill>
                  <w14:solidFill>
                    <w14:schemeClr w14:val="tx1"/>
                  </w14:solidFill>
                </w14:textFill>
              </w:rPr>
            </w:pPr>
          </w:p>
        </w:tc>
        <w:tc>
          <w:tcPr>
            <w:tcW w:w="3720" w:type="dxa"/>
            <w:gridSpan w:val="3"/>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c>
          <w:tcPr>
            <w:tcW w:w="350" w:type="dxa"/>
            <w:vAlign w:val="center"/>
          </w:tcPr>
          <w:p>
            <w:pPr>
              <w:spacing w:line="240" w:lineRule="exact"/>
              <w:jc w:val="center"/>
              <w:rPr>
                <w:rFonts w:hint="default" w:eastAsia="宋体"/>
                <w:color w:val="000000" w:themeColor="text1"/>
                <w:sz w:val="18"/>
                <w:szCs w:val="18"/>
                <w:lang w:val="en-US" w:eastAsia="zh-CN"/>
                <w14:textFill>
                  <w14:solidFill>
                    <w14:schemeClr w14:val="tx1"/>
                  </w14:solidFill>
                </w14:textFill>
              </w:rPr>
            </w:pPr>
            <w:r>
              <w:rPr>
                <w:rFonts w:hint="eastAsia"/>
                <w:color w:val="FF0000"/>
                <w:sz w:val="18"/>
                <w:szCs w:val="18"/>
                <w:lang w:val="en-US" w:eastAsia="zh-CN"/>
              </w:rPr>
              <w:t>296</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17</w:t>
            </w:r>
          </w:p>
        </w:tc>
        <w:tc>
          <w:tcPr>
            <w:tcW w:w="406" w:type="dxa"/>
            <w:vAlign w:val="center"/>
          </w:tcPr>
          <w:p>
            <w:pPr>
              <w:spacing w:line="240" w:lineRule="exact"/>
              <w:jc w:val="center"/>
              <w:rPr>
                <w:rFonts w:hint="default" w:eastAsia="宋体"/>
                <w:color w:val="000000" w:themeColor="text1"/>
                <w:sz w:val="18"/>
                <w:szCs w:val="18"/>
                <w:lang w:val="en-US" w:eastAsia="zh-CN"/>
                <w14:textFill>
                  <w14:solidFill>
                    <w14:schemeClr w14:val="tx1"/>
                  </w14:solidFill>
                </w14:textFill>
              </w:rPr>
            </w:pPr>
            <w:r>
              <w:rPr>
                <w:rFonts w:hint="eastAsia"/>
                <w:color w:val="FF0000"/>
                <w:sz w:val="18"/>
                <w:szCs w:val="18"/>
                <w:lang w:val="en-US" w:eastAsia="zh-CN"/>
              </w:rPr>
              <w:t>264</w:t>
            </w: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w:t>
            </w: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5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p>
        </w:tc>
        <w:tc>
          <w:tcPr>
            <w:tcW w:w="1074" w:type="dxa"/>
            <w:vAlign w:val="center"/>
          </w:tcPr>
          <w:p>
            <w:pPr>
              <w:spacing w:line="240" w:lineRule="exact"/>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1" w:hRule="atLeast"/>
          <w:jc w:val="center"/>
        </w:trPr>
        <w:tc>
          <w:tcPr>
            <w:tcW w:w="424" w:type="dxa"/>
            <w:textDirection w:val="tbRlV"/>
            <w:vAlign w:val="center"/>
          </w:tcPr>
          <w:p>
            <w:pPr>
              <w:spacing w:line="240" w:lineRule="exact"/>
              <w:jc w:val="center"/>
              <w:rPr>
                <w:color w:val="000000" w:themeColor="text1"/>
                <w:sz w:val="18"/>
                <w:szCs w:val="18"/>
                <w14:textFill>
                  <w14:solidFill>
                    <w14:schemeClr w14:val="tx1"/>
                  </w14:solidFill>
                </w14:textFill>
              </w:rPr>
            </w:pPr>
          </w:p>
        </w:tc>
        <w:tc>
          <w:tcPr>
            <w:tcW w:w="3720" w:type="dxa"/>
            <w:gridSpan w:val="3"/>
            <w:vAlign w:val="center"/>
          </w:tcPr>
          <w:p>
            <w:pPr>
              <w:spacing w:line="240" w:lineRule="exact"/>
              <w:jc w:val="left"/>
              <w:rPr>
                <w:rFonts w:hint="eastAsia" w:eastAsia="宋体"/>
                <w:color w:val="000000" w:themeColor="text1"/>
                <w:sz w:val="18"/>
                <w:szCs w:val="18"/>
                <w:lang w:eastAsia="zh-CN"/>
                <w14:textFill>
                  <w14:solidFill>
                    <w14:schemeClr w14:val="tx1"/>
                  </w14:solidFill>
                </w14:textFill>
              </w:rPr>
            </w:pPr>
            <w:r>
              <w:rPr>
                <w:rFonts w:hint="eastAsia" w:ascii="Times New Roman" w:eastAsia="宋体"/>
                <w:b/>
                <w:bCs/>
                <w:color w:val="auto"/>
                <w:sz w:val="18"/>
                <w:szCs w:val="18"/>
                <w:lang w:val="en-US" w:eastAsia="zh-CN"/>
              </w:rPr>
              <w:t>说明：</w:t>
            </w:r>
            <w:r>
              <w:rPr>
                <w:rFonts w:hint="eastAsia"/>
                <w:b/>
                <w:bCs/>
                <w:color w:val="auto"/>
                <w:sz w:val="18"/>
                <w:szCs w:val="18"/>
              </w:rPr>
              <w:t>以非英语外语参加高考进入我校的全日制在籍非外语类专业普通本科学生</w:t>
            </w:r>
            <w:r>
              <w:rPr>
                <w:rFonts w:hint="eastAsia" w:eastAsia="宋体"/>
                <w:b/>
                <w:bCs/>
                <w:color w:val="auto"/>
                <w:sz w:val="18"/>
                <w:szCs w:val="18"/>
                <w:lang w:eastAsia="zh-CN"/>
              </w:rPr>
              <w:t>，可按《湖南财政经济学院全日制普通本科学生非英语外语课程学习暂行办法》（湘财院校发〔2018〕97号）提出申请，参加《大学日语》（一）（二）、《大学俄语》（一）（二）等小语种学习，不再执行各专业人才培养方案中的《大学英语》课程考核。</w:t>
            </w:r>
          </w:p>
        </w:tc>
        <w:tc>
          <w:tcPr>
            <w:tcW w:w="350" w:type="dxa"/>
            <w:vAlign w:val="center"/>
          </w:tcPr>
          <w:p>
            <w:pPr>
              <w:spacing w:line="240" w:lineRule="exact"/>
              <w:jc w:val="center"/>
              <w:rPr>
                <w:color w:val="000000" w:themeColor="text1"/>
                <w:sz w:val="18"/>
                <w:szCs w:val="18"/>
                <w14:textFill>
                  <w14:solidFill>
                    <w14:schemeClr w14:val="tx1"/>
                  </w14:solidFill>
                </w14:textFill>
              </w:rPr>
            </w:pPr>
          </w:p>
        </w:tc>
        <w:tc>
          <w:tcPr>
            <w:tcW w:w="336" w:type="dxa"/>
            <w:vAlign w:val="center"/>
          </w:tcPr>
          <w:p>
            <w:pPr>
              <w:spacing w:line="240" w:lineRule="exact"/>
              <w:jc w:val="center"/>
              <w:rPr>
                <w:color w:val="000000" w:themeColor="text1"/>
                <w:sz w:val="18"/>
                <w:szCs w:val="18"/>
                <w14:textFill>
                  <w14:solidFill>
                    <w14:schemeClr w14:val="tx1"/>
                  </w14:solidFill>
                </w14:textFill>
              </w:rPr>
            </w:pPr>
          </w:p>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p>
        </w:tc>
        <w:tc>
          <w:tcPr>
            <w:tcW w:w="1074" w:type="dxa"/>
            <w:vAlign w:val="center"/>
          </w:tcPr>
          <w:p>
            <w:pPr>
              <w:spacing w:line="240" w:lineRule="exact"/>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restart"/>
            <w:textDirection w:val="tbRlV"/>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通识教育必修课</w:t>
            </w:r>
          </w:p>
        </w:tc>
        <w:tc>
          <w:tcPr>
            <w:tcW w:w="337"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12020091</w:t>
            </w:r>
          </w:p>
        </w:tc>
        <w:tc>
          <w:tcPr>
            <w:tcW w:w="2588" w:type="dxa"/>
            <w:vAlign w:val="center"/>
          </w:tcPr>
          <w:p>
            <w:pPr>
              <w:spacing w:line="240" w:lineRule="exact"/>
              <w:jc w:val="left"/>
              <w:rPr>
                <w:color w:val="auto"/>
                <w:sz w:val="18"/>
                <w:szCs w:val="18"/>
              </w:rPr>
            </w:pPr>
            <w:r>
              <w:rPr>
                <w:color w:val="auto"/>
                <w:sz w:val="18"/>
                <w:szCs w:val="18"/>
              </w:rPr>
              <w:t>军事理论</w:t>
            </w:r>
          </w:p>
          <w:p>
            <w:pPr>
              <w:spacing w:line="240" w:lineRule="exact"/>
              <w:jc w:val="left"/>
              <w:rPr>
                <w:color w:val="auto"/>
                <w:sz w:val="18"/>
                <w:szCs w:val="18"/>
              </w:rPr>
            </w:pPr>
            <w:r>
              <w:rPr>
                <w:color w:val="auto"/>
                <w:sz w:val="18"/>
                <w:szCs w:val="18"/>
              </w:rPr>
              <w:t>Military Theory Course</w:t>
            </w:r>
          </w:p>
        </w:tc>
        <w:tc>
          <w:tcPr>
            <w:tcW w:w="350" w:type="dxa"/>
            <w:vAlign w:val="center"/>
          </w:tcPr>
          <w:p>
            <w:pPr>
              <w:spacing w:line="240" w:lineRule="exact"/>
              <w:jc w:val="center"/>
              <w:rPr>
                <w:color w:val="auto"/>
                <w:sz w:val="18"/>
                <w:szCs w:val="18"/>
              </w:rPr>
            </w:pPr>
            <w:r>
              <w:rPr>
                <w:color w:val="auto"/>
                <w:sz w:val="18"/>
                <w:szCs w:val="18"/>
              </w:rPr>
              <w:t>36</w:t>
            </w:r>
          </w:p>
        </w:tc>
        <w:tc>
          <w:tcPr>
            <w:tcW w:w="336" w:type="dxa"/>
            <w:vAlign w:val="center"/>
          </w:tcPr>
          <w:p>
            <w:pPr>
              <w:spacing w:line="240" w:lineRule="exact"/>
              <w:jc w:val="center"/>
              <w:rPr>
                <w:color w:val="auto"/>
                <w:sz w:val="18"/>
                <w:szCs w:val="18"/>
              </w:rPr>
            </w:pPr>
            <w:r>
              <w:rPr>
                <w:color w:val="auto"/>
                <w:sz w:val="18"/>
                <w:szCs w:val="18"/>
              </w:rPr>
              <w:t>2</w:t>
            </w:r>
          </w:p>
        </w:tc>
        <w:tc>
          <w:tcPr>
            <w:tcW w:w="406" w:type="dxa"/>
            <w:vAlign w:val="center"/>
          </w:tcPr>
          <w:p>
            <w:pPr>
              <w:spacing w:line="240" w:lineRule="exact"/>
              <w:jc w:val="center"/>
              <w:rPr>
                <w:color w:val="auto"/>
                <w:sz w:val="18"/>
                <w:szCs w:val="18"/>
              </w:rPr>
            </w:pPr>
            <w:r>
              <w:rPr>
                <w:color w:val="auto"/>
                <w:sz w:val="18"/>
                <w:szCs w:val="18"/>
              </w:rPr>
              <w:t>18</w:t>
            </w:r>
          </w:p>
        </w:tc>
        <w:tc>
          <w:tcPr>
            <w:tcW w:w="383" w:type="dxa"/>
            <w:vAlign w:val="center"/>
          </w:tcPr>
          <w:p>
            <w:pPr>
              <w:spacing w:line="240" w:lineRule="exact"/>
              <w:jc w:val="center"/>
              <w:rPr>
                <w:color w:val="auto"/>
                <w:sz w:val="18"/>
                <w:szCs w:val="18"/>
              </w:rPr>
            </w:pPr>
            <w:r>
              <w:rPr>
                <w:color w:val="auto"/>
                <w:sz w:val="18"/>
                <w:szCs w:val="18"/>
              </w:rPr>
              <w:t>18</w:t>
            </w:r>
          </w:p>
        </w:tc>
        <w:tc>
          <w:tcPr>
            <w:tcW w:w="396" w:type="dxa"/>
            <w:vAlign w:val="center"/>
          </w:tcPr>
          <w:p>
            <w:pPr>
              <w:spacing w:line="240" w:lineRule="exact"/>
              <w:jc w:val="center"/>
              <w:rPr>
                <w:color w:val="auto"/>
                <w:sz w:val="18"/>
                <w:szCs w:val="18"/>
              </w:rPr>
            </w:pPr>
          </w:p>
        </w:tc>
        <w:tc>
          <w:tcPr>
            <w:tcW w:w="383" w:type="dxa"/>
            <w:vAlign w:val="center"/>
          </w:tcPr>
          <w:p>
            <w:pPr>
              <w:spacing w:line="240" w:lineRule="exact"/>
              <w:jc w:val="center"/>
              <w:rPr>
                <w:color w:val="auto"/>
                <w:sz w:val="18"/>
                <w:szCs w:val="18"/>
              </w:rPr>
            </w:pPr>
          </w:p>
        </w:tc>
        <w:tc>
          <w:tcPr>
            <w:tcW w:w="383" w:type="dxa"/>
            <w:vAlign w:val="center"/>
          </w:tcPr>
          <w:p>
            <w:pPr>
              <w:spacing w:line="240" w:lineRule="exact"/>
              <w:jc w:val="center"/>
              <w:rPr>
                <w:color w:val="auto"/>
                <w:sz w:val="18"/>
                <w:szCs w:val="18"/>
              </w:rPr>
            </w:pPr>
          </w:p>
        </w:tc>
        <w:tc>
          <w:tcPr>
            <w:tcW w:w="356" w:type="dxa"/>
            <w:vAlign w:val="center"/>
          </w:tcPr>
          <w:p>
            <w:pPr>
              <w:spacing w:line="240" w:lineRule="exact"/>
              <w:jc w:val="center"/>
              <w:rPr>
                <w:color w:val="auto"/>
                <w:sz w:val="18"/>
                <w:szCs w:val="18"/>
              </w:rPr>
            </w:pPr>
            <w:r>
              <w:rPr>
                <w:color w:val="auto"/>
                <w:sz w:val="18"/>
                <w:szCs w:val="18"/>
              </w:rPr>
              <w:t>1/2</w:t>
            </w:r>
          </w:p>
        </w:tc>
        <w:tc>
          <w:tcPr>
            <w:tcW w:w="406" w:type="dxa"/>
            <w:vAlign w:val="center"/>
          </w:tcPr>
          <w:p>
            <w:pPr>
              <w:spacing w:line="240" w:lineRule="exact"/>
              <w:jc w:val="center"/>
              <w:rPr>
                <w:color w:val="auto"/>
                <w:sz w:val="18"/>
                <w:szCs w:val="18"/>
              </w:rPr>
            </w:pPr>
            <w:r>
              <w:rPr>
                <w:color w:val="auto"/>
                <w:sz w:val="18"/>
                <w:szCs w:val="18"/>
              </w:rPr>
              <w:t>考试</w:t>
            </w:r>
          </w:p>
        </w:tc>
        <w:tc>
          <w:tcPr>
            <w:tcW w:w="1074" w:type="dxa"/>
            <w:vAlign w:val="center"/>
          </w:tcPr>
          <w:p>
            <w:pPr>
              <w:spacing w:line="240" w:lineRule="exact"/>
              <w:jc w:val="center"/>
              <w:rPr>
                <w:rFonts w:hint="eastAsia" w:eastAsia="宋体"/>
                <w:color w:val="FF0000"/>
                <w:sz w:val="18"/>
                <w:szCs w:val="18"/>
                <w:lang w:eastAsia="zh-CN"/>
              </w:rPr>
            </w:pPr>
            <w:r>
              <w:rPr>
                <w:b/>
                <w:bCs/>
                <w:color w:val="FF0000"/>
                <w:sz w:val="18"/>
                <w:szCs w:val="18"/>
              </w:rPr>
              <w:t>全校各专业</w:t>
            </w:r>
            <w:r>
              <w:rPr>
                <w:rFonts w:hint="eastAsia" w:eastAsia="宋体"/>
                <w:b/>
                <w:bCs/>
                <w:color w:val="FF0000"/>
                <w:sz w:val="18"/>
                <w:szCs w:val="18"/>
                <w:lang w:eastAsia="zh-CN"/>
              </w:rPr>
              <w:t>；分学期开设，具体看表格下方备注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19013321</w:t>
            </w:r>
          </w:p>
        </w:tc>
        <w:tc>
          <w:tcPr>
            <w:tcW w:w="2588" w:type="dxa"/>
            <w:vAlign w:val="center"/>
          </w:tcPr>
          <w:p>
            <w:pPr>
              <w:spacing w:line="240" w:lineRule="exact"/>
              <w:jc w:val="left"/>
              <w:rPr>
                <w:color w:val="auto"/>
                <w:sz w:val="18"/>
                <w:szCs w:val="18"/>
              </w:rPr>
            </w:pPr>
            <w:r>
              <w:rPr>
                <w:color w:val="auto"/>
                <w:sz w:val="18"/>
                <w:szCs w:val="18"/>
              </w:rPr>
              <w:t>创业基础</w:t>
            </w:r>
          </w:p>
          <w:p>
            <w:pPr>
              <w:spacing w:line="240" w:lineRule="exact"/>
              <w:jc w:val="left"/>
              <w:rPr>
                <w:color w:val="auto"/>
                <w:sz w:val="18"/>
                <w:szCs w:val="18"/>
              </w:rPr>
            </w:pPr>
            <w:r>
              <w:rPr>
                <w:color w:val="auto"/>
                <w:sz w:val="18"/>
                <w:szCs w:val="18"/>
              </w:rPr>
              <w:t>Basics of Entrepreneurship</w:t>
            </w:r>
          </w:p>
        </w:tc>
        <w:tc>
          <w:tcPr>
            <w:tcW w:w="350" w:type="dxa"/>
            <w:vAlign w:val="center"/>
          </w:tcPr>
          <w:p>
            <w:pPr>
              <w:spacing w:line="240" w:lineRule="exact"/>
              <w:jc w:val="center"/>
              <w:rPr>
                <w:color w:val="auto"/>
                <w:sz w:val="18"/>
                <w:szCs w:val="18"/>
              </w:rPr>
            </w:pPr>
            <w:r>
              <w:rPr>
                <w:color w:val="auto"/>
                <w:sz w:val="18"/>
                <w:szCs w:val="18"/>
              </w:rPr>
              <w:t>32</w:t>
            </w:r>
          </w:p>
        </w:tc>
        <w:tc>
          <w:tcPr>
            <w:tcW w:w="336" w:type="dxa"/>
            <w:vAlign w:val="center"/>
          </w:tcPr>
          <w:p>
            <w:pPr>
              <w:spacing w:line="240" w:lineRule="exact"/>
              <w:jc w:val="center"/>
              <w:rPr>
                <w:color w:val="auto"/>
                <w:sz w:val="18"/>
                <w:szCs w:val="18"/>
              </w:rPr>
            </w:pPr>
            <w:r>
              <w:rPr>
                <w:color w:val="auto"/>
                <w:sz w:val="18"/>
                <w:szCs w:val="18"/>
              </w:rPr>
              <w:t>2</w:t>
            </w:r>
          </w:p>
        </w:tc>
        <w:tc>
          <w:tcPr>
            <w:tcW w:w="406" w:type="dxa"/>
            <w:vAlign w:val="center"/>
          </w:tcPr>
          <w:p>
            <w:pPr>
              <w:spacing w:line="240" w:lineRule="exact"/>
              <w:jc w:val="center"/>
              <w:rPr>
                <w:color w:val="auto"/>
                <w:sz w:val="18"/>
                <w:szCs w:val="18"/>
              </w:rPr>
            </w:pPr>
            <w:r>
              <w:rPr>
                <w:color w:val="auto"/>
                <w:sz w:val="18"/>
                <w:szCs w:val="18"/>
              </w:rPr>
              <w:t>16</w:t>
            </w:r>
          </w:p>
        </w:tc>
        <w:tc>
          <w:tcPr>
            <w:tcW w:w="383" w:type="dxa"/>
            <w:vAlign w:val="center"/>
          </w:tcPr>
          <w:p>
            <w:pPr>
              <w:spacing w:line="240" w:lineRule="exact"/>
              <w:jc w:val="center"/>
              <w:rPr>
                <w:color w:val="auto"/>
                <w:sz w:val="18"/>
                <w:szCs w:val="18"/>
              </w:rPr>
            </w:pPr>
          </w:p>
        </w:tc>
        <w:tc>
          <w:tcPr>
            <w:tcW w:w="396" w:type="dxa"/>
            <w:vAlign w:val="center"/>
          </w:tcPr>
          <w:p>
            <w:pPr>
              <w:spacing w:line="240" w:lineRule="exact"/>
              <w:jc w:val="center"/>
              <w:rPr>
                <w:color w:val="auto"/>
                <w:sz w:val="18"/>
                <w:szCs w:val="18"/>
              </w:rPr>
            </w:pPr>
            <w:r>
              <w:rPr>
                <w:color w:val="auto"/>
                <w:sz w:val="18"/>
                <w:szCs w:val="18"/>
              </w:rPr>
              <w:t>16</w:t>
            </w:r>
          </w:p>
        </w:tc>
        <w:tc>
          <w:tcPr>
            <w:tcW w:w="383" w:type="dxa"/>
            <w:vAlign w:val="center"/>
          </w:tcPr>
          <w:p>
            <w:pPr>
              <w:spacing w:line="240" w:lineRule="exact"/>
              <w:jc w:val="center"/>
              <w:rPr>
                <w:color w:val="auto"/>
                <w:sz w:val="18"/>
                <w:szCs w:val="18"/>
              </w:rPr>
            </w:pPr>
          </w:p>
        </w:tc>
        <w:tc>
          <w:tcPr>
            <w:tcW w:w="383" w:type="dxa"/>
            <w:vAlign w:val="center"/>
          </w:tcPr>
          <w:p>
            <w:pPr>
              <w:spacing w:line="240" w:lineRule="exact"/>
              <w:jc w:val="center"/>
              <w:rPr>
                <w:color w:val="auto"/>
                <w:sz w:val="18"/>
                <w:szCs w:val="18"/>
              </w:rPr>
            </w:pPr>
          </w:p>
        </w:tc>
        <w:tc>
          <w:tcPr>
            <w:tcW w:w="356" w:type="dxa"/>
            <w:vAlign w:val="center"/>
          </w:tcPr>
          <w:p>
            <w:pPr>
              <w:spacing w:line="240" w:lineRule="exact"/>
              <w:jc w:val="center"/>
              <w:rPr>
                <w:color w:val="auto"/>
                <w:sz w:val="18"/>
                <w:szCs w:val="18"/>
              </w:rPr>
            </w:pPr>
            <w:r>
              <w:rPr>
                <w:color w:val="auto"/>
                <w:sz w:val="18"/>
                <w:szCs w:val="18"/>
              </w:rPr>
              <w:t>3/4</w:t>
            </w:r>
          </w:p>
        </w:tc>
        <w:tc>
          <w:tcPr>
            <w:tcW w:w="406" w:type="dxa"/>
            <w:vAlign w:val="center"/>
          </w:tcPr>
          <w:p>
            <w:pPr>
              <w:spacing w:line="240" w:lineRule="exact"/>
              <w:jc w:val="center"/>
              <w:rPr>
                <w:rFonts w:hint="eastAsia" w:eastAsia="宋体"/>
                <w:color w:val="auto"/>
                <w:sz w:val="18"/>
                <w:szCs w:val="18"/>
                <w:lang w:eastAsia="zh-CN"/>
              </w:rPr>
            </w:pPr>
            <w:r>
              <w:rPr>
                <w:rFonts w:hint="eastAsia" w:eastAsia="宋体"/>
                <w:b/>
                <w:bCs/>
                <w:color w:val="auto"/>
                <w:sz w:val="18"/>
                <w:szCs w:val="18"/>
                <w:lang w:eastAsia="zh-CN"/>
              </w:rPr>
              <w:t>考查</w:t>
            </w:r>
          </w:p>
        </w:tc>
        <w:tc>
          <w:tcPr>
            <w:tcW w:w="1074" w:type="dxa"/>
            <w:vAlign w:val="center"/>
          </w:tcPr>
          <w:p>
            <w:pPr>
              <w:spacing w:line="240" w:lineRule="exact"/>
              <w:jc w:val="center"/>
              <w:rPr>
                <w:color w:val="FF0000"/>
                <w:sz w:val="18"/>
                <w:szCs w:val="18"/>
              </w:rPr>
            </w:pPr>
            <w:r>
              <w:rPr>
                <w:rFonts w:hint="eastAsia" w:eastAsia="宋体"/>
                <w:b/>
                <w:bCs/>
                <w:color w:val="FF0000"/>
                <w:sz w:val="18"/>
                <w:szCs w:val="18"/>
                <w:lang w:eastAsia="zh-CN"/>
              </w:rPr>
              <w:t>分学期开设，具体看表格下方备注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0"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13013311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职业生涯与发展规划                Career and Development Planning</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考查</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textDirection w:val="tbRlV"/>
            <w:vAlign w:val="center"/>
          </w:tcPr>
          <w:p>
            <w:pPr>
              <w:spacing w:line="240" w:lineRule="exact"/>
              <w:jc w:val="center"/>
              <w:rPr>
                <w:color w:val="000000" w:themeColor="text1"/>
                <w:sz w:val="18"/>
                <w:szCs w:val="18"/>
                <w14:textFill>
                  <w14:solidFill>
                    <w14:schemeClr w14:val="tx1"/>
                  </w14:solidFill>
                </w14:textFill>
              </w:rPr>
            </w:pPr>
          </w:p>
        </w:tc>
        <w:tc>
          <w:tcPr>
            <w:tcW w:w="337"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13</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12010021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大学生心理健康教育(一)</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Mental Health Education of College Students (I)</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3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考查</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12010011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大学生心理健康教育(二)</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Mental Health Education of College Students(II)</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0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考查</w:t>
            </w:r>
          </w:p>
        </w:tc>
        <w:tc>
          <w:tcPr>
            <w:tcW w:w="1074"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全校各专业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11005461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大学体育(一)</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College Physical Education (I)</w:t>
            </w:r>
          </w:p>
        </w:tc>
        <w:tc>
          <w:tcPr>
            <w:tcW w:w="350" w:type="dxa"/>
            <w:vAlign w:val="center"/>
          </w:tcPr>
          <w:p>
            <w:pPr>
              <w:spacing w:line="240" w:lineRule="exact"/>
              <w:jc w:val="center"/>
              <w:rPr>
                <w:rFonts w:hint="default" w:eastAsia="宋体"/>
                <w:color w:val="FF0000"/>
                <w:sz w:val="18"/>
                <w:szCs w:val="18"/>
                <w:lang w:val="en-US" w:eastAsia="zh-CN"/>
              </w:rPr>
            </w:pPr>
            <w:r>
              <w:rPr>
                <w:rFonts w:hint="eastAsia"/>
                <w:color w:val="FF0000"/>
                <w:sz w:val="18"/>
                <w:szCs w:val="18"/>
                <w:lang w:val="en-US" w:eastAsia="zh-CN"/>
              </w:rPr>
              <w:t>28</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Merge w:val="restart"/>
            <w:vAlign w:val="center"/>
          </w:tcPr>
          <w:p>
            <w:pPr>
              <w:spacing w:line="240" w:lineRule="exact"/>
              <w:jc w:val="center"/>
              <w:rPr>
                <w:b/>
                <w:bCs/>
                <w:color w:val="FF0000"/>
                <w:sz w:val="18"/>
                <w:szCs w:val="18"/>
              </w:rPr>
            </w:pPr>
            <w:r>
              <w:rPr>
                <w:b/>
                <w:bCs/>
                <w:color w:val="FF0000"/>
                <w:sz w:val="18"/>
                <w:szCs w:val="18"/>
              </w:rPr>
              <w:t>全校</w:t>
            </w:r>
            <w:r>
              <w:rPr>
                <w:rFonts w:hint="eastAsia" w:eastAsia="宋体"/>
                <w:b/>
                <w:bCs/>
                <w:color w:val="FF0000"/>
                <w:sz w:val="18"/>
                <w:szCs w:val="18"/>
                <w:lang w:eastAsia="zh-CN"/>
              </w:rPr>
              <w:t>非休闲体育</w:t>
            </w:r>
            <w:r>
              <w:rPr>
                <w:b/>
                <w:bCs/>
                <w:color w:val="FF0000"/>
                <w:sz w:val="18"/>
                <w:szCs w:val="18"/>
              </w:rPr>
              <w:t>各专业</w:t>
            </w:r>
          </w:p>
          <w:p>
            <w:pPr>
              <w:spacing w:line="24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11005431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大学体育(二)</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College Physical Education (II)</w:t>
            </w:r>
          </w:p>
        </w:tc>
        <w:tc>
          <w:tcPr>
            <w:tcW w:w="350" w:type="dxa"/>
            <w:vAlign w:val="center"/>
          </w:tcPr>
          <w:p>
            <w:pPr>
              <w:spacing w:line="240" w:lineRule="exact"/>
              <w:jc w:val="center"/>
              <w:rPr>
                <w:color w:val="FF0000"/>
                <w:sz w:val="18"/>
                <w:szCs w:val="18"/>
              </w:rPr>
            </w:pPr>
            <w:r>
              <w:rPr>
                <w:color w:val="FF0000"/>
                <w:sz w:val="18"/>
                <w:szCs w:val="18"/>
              </w:rPr>
              <w:t>36</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Merge w:val="continue"/>
            <w:vAlign w:val="center"/>
          </w:tcPr>
          <w:p>
            <w:pPr>
              <w:spacing w:line="24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11005441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大学体育(三)</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College Physical Education (III)</w:t>
            </w:r>
          </w:p>
        </w:tc>
        <w:tc>
          <w:tcPr>
            <w:tcW w:w="350" w:type="dxa"/>
            <w:vAlign w:val="center"/>
          </w:tcPr>
          <w:p>
            <w:pPr>
              <w:spacing w:line="240" w:lineRule="exact"/>
              <w:jc w:val="center"/>
              <w:rPr>
                <w:rFonts w:hint="default" w:eastAsia="宋体"/>
                <w:color w:val="FF0000"/>
                <w:sz w:val="18"/>
                <w:szCs w:val="18"/>
                <w:lang w:val="en-US" w:eastAsia="zh-CN"/>
              </w:rPr>
            </w:pPr>
            <w:r>
              <w:rPr>
                <w:rFonts w:hint="eastAsia"/>
                <w:color w:val="FF0000"/>
                <w:sz w:val="18"/>
                <w:szCs w:val="18"/>
                <w:lang w:val="en-US" w:eastAsia="zh-CN"/>
              </w:rPr>
              <w:t>20</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Merge w:val="continue"/>
            <w:vAlign w:val="center"/>
          </w:tcPr>
          <w:p>
            <w:pPr>
              <w:spacing w:line="24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11005451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大学体育(四)</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College Physical Education (IV)</w:t>
            </w:r>
          </w:p>
        </w:tc>
        <w:tc>
          <w:tcPr>
            <w:tcW w:w="350" w:type="dxa"/>
            <w:vAlign w:val="center"/>
          </w:tcPr>
          <w:p>
            <w:pPr>
              <w:spacing w:line="240" w:lineRule="exact"/>
              <w:jc w:val="center"/>
              <w:rPr>
                <w:rFonts w:hint="default" w:eastAsia="宋体"/>
                <w:color w:val="FF0000"/>
                <w:sz w:val="18"/>
                <w:szCs w:val="18"/>
                <w:lang w:val="en-US" w:eastAsia="zh-CN"/>
              </w:rPr>
            </w:pPr>
            <w:r>
              <w:rPr>
                <w:rFonts w:hint="eastAsia"/>
                <w:color w:val="FF0000"/>
                <w:sz w:val="18"/>
                <w:szCs w:val="18"/>
                <w:lang w:val="en-US" w:eastAsia="zh-CN"/>
              </w:rPr>
              <w:t>20</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Merge w:val="continue"/>
            <w:vAlign w:val="center"/>
          </w:tcPr>
          <w:p>
            <w:pPr>
              <w:spacing w:line="24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11005491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大学体育(五)</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College Physical Education (</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 5 \* ROMAN \* MERGEFORMAT </w:instrText>
            </w:r>
            <w:r>
              <w:rPr>
                <w:color w:val="000000" w:themeColor="text1"/>
                <w:sz w:val="18"/>
                <w:szCs w:val="18"/>
                <w14:textFill>
                  <w14:solidFill>
                    <w14:schemeClr w14:val="tx1"/>
                  </w14:solidFill>
                </w14:textFill>
              </w:rPr>
              <w:fldChar w:fldCharType="separate"/>
            </w:r>
            <w:r>
              <w:rPr>
                <w:color w:val="000000" w:themeColor="text1"/>
                <w:sz w:val="18"/>
                <w:szCs w:val="18"/>
                <w14:textFill>
                  <w14:solidFill>
                    <w14:schemeClr w14:val="tx1"/>
                  </w14:solidFill>
                </w14:textFill>
              </w:rPr>
              <w:t>V</w:t>
            </w:r>
            <w:r>
              <w:rPr>
                <w:color w:val="000000" w:themeColor="text1"/>
                <w:sz w:val="18"/>
                <w:szCs w:val="18"/>
                <w14:textFill>
                  <w14:solidFill>
                    <w14:schemeClr w14:val="tx1"/>
                  </w14:solidFill>
                </w14:textFill>
              </w:rPr>
              <w:fldChar w:fldCharType="end"/>
            </w:r>
            <w:r>
              <w:rPr>
                <w:color w:val="000000" w:themeColor="text1"/>
                <w:sz w:val="18"/>
                <w:szCs w:val="18"/>
                <w14:textFill>
                  <w14:solidFill>
                    <w14:schemeClr w14:val="tx1"/>
                  </w14:solidFill>
                </w14:textFill>
              </w:rPr>
              <w:t>)</w:t>
            </w:r>
          </w:p>
        </w:tc>
        <w:tc>
          <w:tcPr>
            <w:tcW w:w="350" w:type="dxa"/>
            <w:vAlign w:val="center"/>
          </w:tcPr>
          <w:p>
            <w:pPr>
              <w:spacing w:line="240" w:lineRule="exact"/>
              <w:jc w:val="center"/>
              <w:rPr>
                <w:rFonts w:hint="default" w:eastAsia="宋体"/>
                <w:color w:val="FF0000"/>
                <w:sz w:val="18"/>
                <w:szCs w:val="18"/>
                <w:lang w:val="en-US" w:eastAsia="zh-CN"/>
              </w:rPr>
            </w:pPr>
            <w:r>
              <w:rPr>
                <w:rFonts w:hint="eastAsia"/>
                <w:color w:val="FF0000"/>
                <w:sz w:val="18"/>
                <w:szCs w:val="18"/>
                <w:lang w:val="en-US" w:eastAsia="zh-CN"/>
              </w:rPr>
              <w:t>20</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Merge w:val="continue"/>
            <w:vAlign w:val="center"/>
          </w:tcPr>
          <w:p>
            <w:pPr>
              <w:spacing w:line="24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37"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795"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11005511</w:t>
            </w:r>
          </w:p>
        </w:tc>
        <w:tc>
          <w:tcPr>
            <w:tcW w:w="2588" w:type="dxa"/>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大学体育(六)</w:t>
            </w:r>
          </w:p>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College Physical Education (VI)</w:t>
            </w:r>
          </w:p>
        </w:tc>
        <w:tc>
          <w:tcPr>
            <w:tcW w:w="350" w:type="dxa"/>
            <w:vAlign w:val="center"/>
          </w:tcPr>
          <w:p>
            <w:pPr>
              <w:spacing w:line="240" w:lineRule="exact"/>
              <w:jc w:val="center"/>
              <w:rPr>
                <w:rFonts w:hint="default" w:eastAsia="宋体"/>
                <w:color w:val="FF0000"/>
                <w:sz w:val="18"/>
                <w:szCs w:val="18"/>
                <w:lang w:val="en-US" w:eastAsia="zh-CN"/>
              </w:rPr>
            </w:pPr>
            <w:r>
              <w:rPr>
                <w:rFonts w:hint="eastAsia"/>
                <w:color w:val="FF0000"/>
                <w:sz w:val="18"/>
                <w:szCs w:val="18"/>
                <w:lang w:val="en-US" w:eastAsia="zh-CN"/>
              </w:rPr>
              <w:t>20</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35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40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考试</w:t>
            </w:r>
          </w:p>
        </w:tc>
        <w:tc>
          <w:tcPr>
            <w:tcW w:w="1074" w:type="dxa"/>
            <w:vMerge w:val="continue"/>
            <w:vAlign w:val="center"/>
          </w:tcPr>
          <w:p>
            <w:pPr>
              <w:spacing w:line="24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24" w:type="dxa"/>
            <w:vAlign w:val="center"/>
          </w:tcPr>
          <w:p>
            <w:pPr>
              <w:spacing w:line="240" w:lineRule="exact"/>
              <w:jc w:val="center"/>
              <w:rPr>
                <w:color w:val="000000" w:themeColor="text1"/>
                <w:sz w:val="18"/>
                <w:szCs w:val="18"/>
                <w14:textFill>
                  <w14:solidFill>
                    <w14:schemeClr w14:val="tx1"/>
                  </w14:solidFill>
                </w14:textFill>
              </w:rPr>
            </w:pPr>
          </w:p>
        </w:tc>
        <w:tc>
          <w:tcPr>
            <w:tcW w:w="3720" w:type="dxa"/>
            <w:gridSpan w:val="3"/>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c>
          <w:tcPr>
            <w:tcW w:w="350" w:type="dxa"/>
            <w:vAlign w:val="center"/>
          </w:tcPr>
          <w:p>
            <w:pPr>
              <w:spacing w:line="240" w:lineRule="exact"/>
              <w:jc w:val="center"/>
              <w:rPr>
                <w:rFonts w:hint="default" w:eastAsia="宋体"/>
                <w:color w:val="auto"/>
                <w:sz w:val="18"/>
                <w:szCs w:val="18"/>
                <w:lang w:val="en-US" w:eastAsia="zh-CN"/>
              </w:rPr>
            </w:pPr>
            <w:r>
              <w:rPr>
                <w:rFonts w:hint="eastAsia"/>
                <w:color w:val="auto"/>
                <w:sz w:val="18"/>
                <w:szCs w:val="18"/>
                <w:lang w:val="en-US" w:eastAsia="zh-CN"/>
              </w:rPr>
              <w:t>262</w:t>
            </w:r>
          </w:p>
        </w:tc>
        <w:tc>
          <w:tcPr>
            <w:tcW w:w="336" w:type="dxa"/>
            <w:vAlign w:val="center"/>
          </w:tcPr>
          <w:p>
            <w:pPr>
              <w:spacing w:line="240" w:lineRule="exact"/>
              <w:jc w:val="center"/>
              <w:rPr>
                <w:rFonts w:hint="eastAsia" w:eastAsia="宋体"/>
                <w:color w:val="auto"/>
                <w:sz w:val="18"/>
                <w:szCs w:val="18"/>
                <w:lang w:eastAsia="zh-CN"/>
              </w:rPr>
            </w:pPr>
            <w:r>
              <w:rPr>
                <w:color w:val="auto"/>
                <w:sz w:val="18"/>
                <w:szCs w:val="18"/>
              </w:rPr>
              <w:t>1</w:t>
            </w:r>
            <w:r>
              <w:rPr>
                <w:rFonts w:hint="eastAsia"/>
                <w:color w:val="auto"/>
                <w:sz w:val="18"/>
                <w:szCs w:val="18"/>
                <w:lang w:val="en-US" w:eastAsia="zh-CN"/>
              </w:rPr>
              <w:t>1</w:t>
            </w:r>
          </w:p>
        </w:tc>
        <w:tc>
          <w:tcPr>
            <w:tcW w:w="406" w:type="dxa"/>
            <w:vAlign w:val="center"/>
          </w:tcPr>
          <w:p>
            <w:pPr>
              <w:spacing w:line="240" w:lineRule="exact"/>
              <w:jc w:val="center"/>
              <w:rPr>
                <w:rFonts w:hint="default" w:eastAsia="宋体"/>
                <w:color w:val="auto"/>
                <w:sz w:val="18"/>
                <w:szCs w:val="18"/>
                <w:lang w:val="en-US" w:eastAsia="zh-CN"/>
              </w:rPr>
            </w:pPr>
            <w:r>
              <w:rPr>
                <w:rFonts w:hint="eastAsia"/>
                <w:color w:val="auto"/>
                <w:sz w:val="18"/>
                <w:szCs w:val="18"/>
                <w:lang w:val="en-US" w:eastAsia="zh-CN"/>
              </w:rPr>
              <w:t>132</w:t>
            </w:r>
          </w:p>
        </w:tc>
        <w:tc>
          <w:tcPr>
            <w:tcW w:w="383" w:type="dxa"/>
            <w:vAlign w:val="center"/>
          </w:tcPr>
          <w:p>
            <w:pPr>
              <w:spacing w:line="240" w:lineRule="exact"/>
              <w:jc w:val="center"/>
              <w:rPr>
                <w:color w:val="auto"/>
                <w:sz w:val="18"/>
                <w:szCs w:val="18"/>
              </w:rPr>
            </w:pPr>
            <w:r>
              <w:rPr>
                <w:color w:val="auto"/>
                <w:sz w:val="18"/>
                <w:szCs w:val="18"/>
              </w:rPr>
              <w:t>18</w:t>
            </w:r>
          </w:p>
        </w:tc>
        <w:tc>
          <w:tcPr>
            <w:tcW w:w="396" w:type="dxa"/>
            <w:vAlign w:val="center"/>
          </w:tcPr>
          <w:p>
            <w:pPr>
              <w:spacing w:line="240" w:lineRule="exact"/>
              <w:jc w:val="center"/>
              <w:rPr>
                <w:rFonts w:hint="default" w:eastAsia="宋体"/>
                <w:color w:val="auto"/>
                <w:sz w:val="18"/>
                <w:szCs w:val="18"/>
                <w:lang w:val="en-US" w:eastAsia="zh-CN"/>
              </w:rPr>
            </w:pPr>
            <w:r>
              <w:rPr>
                <w:rFonts w:hint="eastAsia"/>
                <w:color w:val="auto"/>
                <w:sz w:val="18"/>
                <w:szCs w:val="18"/>
                <w:lang w:val="en-US" w:eastAsia="zh-CN"/>
              </w:rPr>
              <w:t>96</w:t>
            </w:r>
          </w:p>
        </w:tc>
        <w:tc>
          <w:tcPr>
            <w:tcW w:w="383" w:type="dxa"/>
            <w:vAlign w:val="center"/>
          </w:tcPr>
          <w:p>
            <w:pPr>
              <w:spacing w:line="240" w:lineRule="exact"/>
              <w:jc w:val="center"/>
              <w:rPr>
                <w:color w:val="auto"/>
                <w:sz w:val="18"/>
                <w:szCs w:val="18"/>
              </w:rPr>
            </w:pPr>
          </w:p>
        </w:tc>
        <w:tc>
          <w:tcPr>
            <w:tcW w:w="383" w:type="dxa"/>
            <w:vAlign w:val="center"/>
          </w:tcPr>
          <w:p>
            <w:pPr>
              <w:spacing w:line="240" w:lineRule="exact"/>
              <w:jc w:val="center"/>
              <w:rPr>
                <w:color w:val="auto"/>
                <w:sz w:val="18"/>
                <w:szCs w:val="18"/>
              </w:rPr>
            </w:pPr>
            <w:r>
              <w:rPr>
                <w:color w:val="auto"/>
                <w:sz w:val="18"/>
                <w:szCs w:val="18"/>
              </w:rPr>
              <w:t>16</w:t>
            </w:r>
          </w:p>
        </w:tc>
        <w:tc>
          <w:tcPr>
            <w:tcW w:w="356" w:type="dxa"/>
            <w:vAlign w:val="center"/>
          </w:tcPr>
          <w:p>
            <w:pPr>
              <w:spacing w:line="240" w:lineRule="exact"/>
              <w:jc w:val="center"/>
              <w:rPr>
                <w:color w:val="auto"/>
                <w:sz w:val="18"/>
                <w:szCs w:val="18"/>
              </w:rPr>
            </w:pPr>
          </w:p>
        </w:tc>
        <w:tc>
          <w:tcPr>
            <w:tcW w:w="406" w:type="dxa"/>
            <w:vAlign w:val="center"/>
          </w:tcPr>
          <w:p>
            <w:pPr>
              <w:spacing w:line="240" w:lineRule="exact"/>
              <w:jc w:val="center"/>
              <w:rPr>
                <w:color w:val="FF0000"/>
                <w:sz w:val="18"/>
                <w:szCs w:val="18"/>
              </w:rPr>
            </w:pPr>
          </w:p>
        </w:tc>
        <w:tc>
          <w:tcPr>
            <w:tcW w:w="1074" w:type="dxa"/>
            <w:vAlign w:val="center"/>
          </w:tcPr>
          <w:p>
            <w:pPr>
              <w:spacing w:line="24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restart"/>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通识</w:t>
            </w:r>
          </w:p>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w:t>
            </w:r>
          </w:p>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选修课</w:t>
            </w:r>
          </w:p>
        </w:tc>
        <w:tc>
          <w:tcPr>
            <w:tcW w:w="3720" w:type="dxa"/>
            <w:gridSpan w:val="3"/>
            <w:vAlign w:val="center"/>
          </w:tcPr>
          <w:p>
            <w:pPr>
              <w:spacing w:line="240" w:lineRule="exact"/>
              <w:jc w:val="left"/>
              <w:rPr>
                <w:rFonts w:hint="eastAsia" w:eastAsia="宋体"/>
                <w:color w:val="000000" w:themeColor="text1"/>
                <w:sz w:val="18"/>
                <w:szCs w:val="18"/>
                <w:lang w:eastAsia="zh-CN"/>
                <w14:textFill>
                  <w14:solidFill>
                    <w14:schemeClr w14:val="tx1"/>
                  </w14:solidFill>
                </w14:textFill>
              </w:rPr>
            </w:pPr>
            <w:r>
              <w:rPr>
                <w:color w:val="000000" w:themeColor="text1"/>
                <w:sz w:val="18"/>
                <w:szCs w:val="18"/>
                <w14:textFill>
                  <w14:solidFill>
                    <w14:schemeClr w14:val="tx1"/>
                  </w14:solidFill>
                </w14:textFill>
              </w:rPr>
              <w:t>此模块课程分七学期开设，从第一学期开始选修，每学期最多选修4学分，最少选修1学分，七学期共选修不少于10学分，其中艺术修养与艺术鉴赏课程必须至少选修2学分，安全教育选修1学分</w:t>
            </w:r>
            <w:r>
              <w:rPr>
                <w:rFonts w:hint="eastAsia" w:eastAsia="宋体"/>
                <w:color w:val="000000" w:themeColor="text1"/>
                <w:sz w:val="18"/>
                <w:szCs w:val="18"/>
                <w:lang w:eastAsia="zh-CN"/>
                <w14:textFill>
                  <w14:solidFill>
                    <w14:schemeClr w14:val="tx1"/>
                  </w14:solidFill>
                </w14:textFill>
              </w:rPr>
              <w:t>，</w:t>
            </w:r>
            <w:r>
              <w:rPr>
                <w:rFonts w:hint="eastAsia" w:eastAsia="宋体"/>
                <w:b/>
                <w:bCs/>
                <w:color w:val="FF0000"/>
                <w:sz w:val="18"/>
                <w:szCs w:val="18"/>
                <w:lang w:eastAsia="zh-CN"/>
              </w:rPr>
              <w:t>四史（党史、新中国史、改革开放史、社会主义发展史）选修其一，</w:t>
            </w:r>
            <w:r>
              <w:rPr>
                <w:rFonts w:hint="eastAsia" w:ascii="Times New Roman" w:eastAsia="宋体"/>
                <w:b/>
                <w:bCs/>
                <w:color w:val="FF0000"/>
                <w:sz w:val="18"/>
                <w:szCs w:val="18"/>
                <w:lang w:val="en-US" w:eastAsia="zh-CN"/>
              </w:rPr>
              <w:t>0.5学分</w:t>
            </w:r>
            <w:r>
              <w:rPr>
                <w:b/>
                <w:bCs/>
                <w:color w:val="FF0000"/>
                <w:sz w:val="18"/>
                <w:szCs w:val="18"/>
              </w:rPr>
              <w:t>。</w:t>
            </w:r>
          </w:p>
        </w:tc>
        <w:tc>
          <w:tcPr>
            <w:tcW w:w="350" w:type="dxa"/>
            <w:vAlign w:val="center"/>
          </w:tcPr>
          <w:p>
            <w:pPr>
              <w:spacing w:line="240" w:lineRule="exact"/>
              <w:jc w:val="center"/>
              <w:rPr>
                <w:color w:val="000000" w:themeColor="text1"/>
                <w:sz w:val="18"/>
                <w:szCs w:val="18"/>
                <w14:textFill>
                  <w14:solidFill>
                    <w14:schemeClr w14:val="tx1"/>
                  </w14:solidFill>
                </w14:textFill>
              </w:rPr>
            </w:pPr>
          </w:p>
        </w:tc>
        <w:tc>
          <w:tcPr>
            <w:tcW w:w="33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p>
        </w:tc>
        <w:tc>
          <w:tcPr>
            <w:tcW w:w="1074" w:type="dxa"/>
            <w:vAlign w:val="center"/>
          </w:tcPr>
          <w:p>
            <w:pPr>
              <w:spacing w:line="240" w:lineRule="exact"/>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424" w:type="dxa"/>
            <w:vMerge w:val="continue"/>
            <w:vAlign w:val="center"/>
          </w:tcPr>
          <w:p>
            <w:pPr>
              <w:spacing w:line="240" w:lineRule="exact"/>
              <w:jc w:val="center"/>
              <w:rPr>
                <w:color w:val="000000" w:themeColor="text1"/>
                <w:sz w:val="18"/>
                <w:szCs w:val="18"/>
                <w14:textFill>
                  <w14:solidFill>
                    <w14:schemeClr w14:val="tx1"/>
                  </w14:solidFill>
                </w14:textFill>
              </w:rPr>
            </w:pPr>
          </w:p>
        </w:tc>
        <w:tc>
          <w:tcPr>
            <w:tcW w:w="3720" w:type="dxa"/>
            <w:gridSpan w:val="3"/>
            <w:vAlign w:val="center"/>
          </w:tcPr>
          <w:p>
            <w:pPr>
              <w:spacing w:line="240" w:lineRule="exact"/>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小计</w:t>
            </w:r>
          </w:p>
        </w:tc>
        <w:tc>
          <w:tcPr>
            <w:tcW w:w="350"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160</w:t>
            </w:r>
          </w:p>
        </w:tc>
        <w:tc>
          <w:tcPr>
            <w:tcW w:w="336" w:type="dxa"/>
            <w:vAlign w:val="center"/>
          </w:tcPr>
          <w:p>
            <w:pPr>
              <w:spacing w:line="240" w:lineRule="exact"/>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40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96"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83" w:type="dxa"/>
            <w:vAlign w:val="center"/>
          </w:tcPr>
          <w:p>
            <w:pPr>
              <w:spacing w:line="240" w:lineRule="exact"/>
              <w:jc w:val="center"/>
              <w:rPr>
                <w:color w:val="000000" w:themeColor="text1"/>
                <w:sz w:val="18"/>
                <w:szCs w:val="18"/>
                <w14:textFill>
                  <w14:solidFill>
                    <w14:schemeClr w14:val="tx1"/>
                  </w14:solidFill>
                </w14:textFill>
              </w:rPr>
            </w:pPr>
          </w:p>
        </w:tc>
        <w:tc>
          <w:tcPr>
            <w:tcW w:w="356" w:type="dxa"/>
            <w:vAlign w:val="center"/>
          </w:tcPr>
          <w:p>
            <w:pPr>
              <w:spacing w:line="240" w:lineRule="exact"/>
              <w:jc w:val="center"/>
              <w:rPr>
                <w:color w:val="000000" w:themeColor="text1"/>
                <w:sz w:val="18"/>
                <w:szCs w:val="18"/>
                <w14:textFill>
                  <w14:solidFill>
                    <w14:schemeClr w14:val="tx1"/>
                  </w14:solidFill>
                </w14:textFill>
              </w:rPr>
            </w:pPr>
          </w:p>
        </w:tc>
        <w:tc>
          <w:tcPr>
            <w:tcW w:w="406" w:type="dxa"/>
            <w:vAlign w:val="center"/>
          </w:tcPr>
          <w:p>
            <w:pPr>
              <w:spacing w:line="240" w:lineRule="exact"/>
              <w:jc w:val="center"/>
              <w:rPr>
                <w:color w:val="000000" w:themeColor="text1"/>
                <w:sz w:val="18"/>
                <w:szCs w:val="18"/>
                <w14:textFill>
                  <w14:solidFill>
                    <w14:schemeClr w14:val="tx1"/>
                  </w14:solidFill>
                </w14:textFill>
              </w:rPr>
            </w:pPr>
          </w:p>
        </w:tc>
        <w:tc>
          <w:tcPr>
            <w:tcW w:w="1074" w:type="dxa"/>
            <w:vAlign w:val="center"/>
          </w:tcPr>
          <w:p>
            <w:pPr>
              <w:spacing w:line="240" w:lineRule="exact"/>
              <w:jc w:val="center"/>
              <w:rPr>
                <w:color w:val="000000" w:themeColor="text1"/>
                <w:sz w:val="18"/>
                <w:szCs w:val="1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eastAsia="zh-CN"/>
          <w14:textFill>
            <w14:solidFill>
              <w14:schemeClr w14:val="tx1"/>
            </w14:solidFill>
          </w14:textFill>
        </w:rPr>
        <w:t>备注</w:t>
      </w:r>
      <w:r>
        <w:rPr>
          <w:rFonts w:hint="eastAsia" w:ascii="宋体" w:hAnsi="宋体" w:cs="宋体"/>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1</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auto"/>
          <w:sz w:val="24"/>
          <w:szCs w:val="24"/>
        </w:rPr>
        <w:t>《大学语文》按学院分两个学期设置：</w:t>
      </w:r>
      <w:r>
        <w:rPr>
          <w:rFonts w:hint="eastAsia" w:ascii="宋体" w:hAnsi="宋体" w:cs="宋体"/>
          <w:b/>
          <w:bCs/>
          <w:color w:val="auto"/>
          <w:sz w:val="24"/>
          <w:szCs w:val="24"/>
        </w:rPr>
        <w:t>第</w:t>
      </w:r>
      <w:r>
        <w:rPr>
          <w:rFonts w:hint="eastAsia" w:ascii="宋体" w:hAnsi="宋体" w:cs="宋体"/>
          <w:b/>
          <w:bCs/>
          <w:color w:val="auto"/>
          <w:sz w:val="24"/>
          <w:szCs w:val="24"/>
          <w:lang w:val="en-US" w:eastAsia="zh-CN"/>
        </w:rPr>
        <w:t>1</w:t>
      </w:r>
      <w:r>
        <w:rPr>
          <w:rFonts w:hint="eastAsia" w:ascii="宋体" w:hAnsi="宋体" w:cs="宋体"/>
          <w:b/>
          <w:bCs/>
          <w:color w:val="auto"/>
          <w:sz w:val="24"/>
          <w:szCs w:val="24"/>
        </w:rPr>
        <w:t>学期</w:t>
      </w:r>
      <w:r>
        <w:rPr>
          <w:rFonts w:hint="eastAsia" w:ascii="宋体" w:hAnsi="宋体" w:cs="宋体"/>
          <w:b w:val="0"/>
          <w:bCs w:val="0"/>
          <w:color w:val="auto"/>
          <w:sz w:val="24"/>
          <w:szCs w:val="24"/>
          <w:lang w:eastAsia="zh-CN"/>
        </w:rPr>
        <w:t>开设</w:t>
      </w:r>
      <w:r>
        <w:rPr>
          <w:rFonts w:hint="eastAsia" w:ascii="宋体" w:hAnsi="宋体" w:cs="宋体"/>
          <w:b w:val="0"/>
          <w:bCs w:val="0"/>
          <w:color w:val="auto"/>
          <w:sz w:val="24"/>
          <w:szCs w:val="24"/>
        </w:rPr>
        <w:t>的学院有会计学院、人文</w:t>
      </w:r>
      <w:r>
        <w:rPr>
          <w:rFonts w:hint="eastAsia" w:ascii="宋体" w:hAnsi="宋体" w:cs="宋体"/>
          <w:b w:val="0"/>
          <w:bCs w:val="0"/>
          <w:color w:val="auto"/>
          <w:sz w:val="24"/>
          <w:szCs w:val="24"/>
          <w:lang w:eastAsia="zh-CN"/>
        </w:rPr>
        <w:t>与</w:t>
      </w:r>
      <w:r>
        <w:rPr>
          <w:rFonts w:hint="eastAsia" w:ascii="宋体" w:hAnsi="宋体" w:cs="宋体"/>
          <w:b w:val="0"/>
          <w:bCs w:val="0"/>
          <w:color w:val="auto"/>
          <w:sz w:val="24"/>
          <w:szCs w:val="24"/>
        </w:rPr>
        <w:t>艺术学院、数学与统计学院、外国语学院、厚生国际教育学院、体育学院</w:t>
      </w:r>
      <w:r>
        <w:rPr>
          <w:rFonts w:hint="eastAsia" w:ascii="宋体" w:hAnsi="宋体" w:cs="宋体"/>
          <w:b w:val="0"/>
          <w:bCs w:val="0"/>
          <w:color w:val="auto"/>
          <w:sz w:val="24"/>
          <w:szCs w:val="24"/>
          <w:lang w:eastAsia="zh-CN"/>
        </w:rPr>
        <w:t>；</w:t>
      </w:r>
      <w:r>
        <w:rPr>
          <w:rFonts w:hint="eastAsia" w:ascii="宋体" w:hAnsi="宋体" w:cs="宋体"/>
          <w:b/>
          <w:bCs/>
          <w:color w:val="auto"/>
          <w:sz w:val="24"/>
          <w:szCs w:val="24"/>
        </w:rPr>
        <w:t>第</w:t>
      </w:r>
      <w:r>
        <w:rPr>
          <w:rFonts w:hint="eastAsia" w:ascii="宋体" w:hAnsi="宋体" w:cs="宋体"/>
          <w:b/>
          <w:bCs/>
          <w:color w:val="auto"/>
          <w:sz w:val="24"/>
          <w:szCs w:val="24"/>
          <w:lang w:val="en-US" w:eastAsia="zh-CN"/>
        </w:rPr>
        <w:t>2</w:t>
      </w:r>
      <w:r>
        <w:rPr>
          <w:rFonts w:hint="eastAsia" w:ascii="宋体" w:hAnsi="宋体" w:cs="宋体"/>
          <w:b/>
          <w:bCs/>
          <w:color w:val="auto"/>
          <w:sz w:val="24"/>
          <w:szCs w:val="24"/>
        </w:rPr>
        <w:t>学期</w:t>
      </w:r>
      <w:r>
        <w:rPr>
          <w:rFonts w:hint="eastAsia" w:ascii="宋体" w:hAnsi="宋体" w:cs="宋体"/>
          <w:b w:val="0"/>
          <w:bCs w:val="0"/>
          <w:color w:val="auto"/>
          <w:sz w:val="24"/>
          <w:szCs w:val="24"/>
          <w:lang w:eastAsia="zh-CN"/>
        </w:rPr>
        <w:t>开设</w:t>
      </w:r>
      <w:r>
        <w:rPr>
          <w:rFonts w:hint="eastAsia" w:ascii="宋体" w:hAnsi="宋体" w:cs="宋体"/>
          <w:b w:val="0"/>
          <w:bCs w:val="0"/>
          <w:color w:val="auto"/>
          <w:sz w:val="24"/>
          <w:szCs w:val="24"/>
        </w:rPr>
        <w:t>的学院有财政金融学院、经济学院、工商管理学院、</w:t>
      </w:r>
      <w:r>
        <w:rPr>
          <w:rFonts w:hint="eastAsia" w:ascii="宋体" w:hAnsi="宋体" w:cs="宋体"/>
          <w:b w:val="0"/>
          <w:bCs w:val="0"/>
          <w:color w:val="auto"/>
          <w:sz w:val="24"/>
          <w:szCs w:val="24"/>
          <w:lang w:eastAsia="zh-CN"/>
        </w:rPr>
        <w:t>法学与</w:t>
      </w:r>
      <w:r>
        <w:rPr>
          <w:rFonts w:hint="eastAsia" w:ascii="宋体" w:hAnsi="宋体" w:cs="宋体"/>
          <w:b w:val="0"/>
          <w:bCs w:val="0"/>
          <w:color w:val="auto"/>
          <w:sz w:val="24"/>
          <w:szCs w:val="24"/>
        </w:rPr>
        <w:t>公共管理学院、信息技术与管理学院、工程管理学院。</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2</w:t>
      </w:r>
      <w:r>
        <w:rPr>
          <w:rFonts w:hint="eastAsia" w:ascii="宋体" w:hAnsi="宋体" w:cs="宋体"/>
          <w:b w:val="0"/>
          <w:bCs w:val="0"/>
          <w:color w:val="000000" w:themeColor="text1"/>
          <w:sz w:val="24"/>
          <w:szCs w:val="24"/>
          <w14:textFill>
            <w14:solidFill>
              <w14:schemeClr w14:val="tx1"/>
            </w14:solidFill>
          </w14:textFill>
        </w:rPr>
        <w:t>.《军事理论》按学院分两个学期设置：</w:t>
      </w:r>
      <w:r>
        <w:rPr>
          <w:rFonts w:hint="eastAsia" w:ascii="宋体" w:hAnsi="宋体" w:cs="宋体"/>
          <w:b/>
          <w:bCs/>
          <w:color w:val="000000" w:themeColor="text1"/>
          <w:sz w:val="24"/>
          <w:szCs w:val="24"/>
          <w14:textFill>
            <w14:solidFill>
              <w14:schemeClr w14:val="tx1"/>
            </w14:solidFill>
          </w14:textFill>
        </w:rPr>
        <w:t>第</w:t>
      </w: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cs="宋体"/>
          <w:b/>
          <w:bCs/>
          <w:color w:val="000000" w:themeColor="text1"/>
          <w:sz w:val="24"/>
          <w:szCs w:val="24"/>
          <w14:textFill>
            <w14:solidFill>
              <w14:schemeClr w14:val="tx1"/>
            </w14:solidFill>
          </w14:textFill>
        </w:rPr>
        <w:t>学期</w:t>
      </w:r>
      <w:r>
        <w:rPr>
          <w:rFonts w:hint="eastAsia" w:ascii="宋体" w:hAnsi="宋体" w:cs="宋体"/>
          <w:b w:val="0"/>
          <w:bCs w:val="0"/>
          <w:color w:val="000000" w:themeColor="text1"/>
          <w:sz w:val="24"/>
          <w:szCs w:val="24"/>
          <w:lang w:eastAsia="zh-CN"/>
          <w14:textFill>
            <w14:solidFill>
              <w14:schemeClr w14:val="tx1"/>
            </w14:solidFill>
          </w14:textFill>
        </w:rPr>
        <w:t>开设</w:t>
      </w:r>
      <w:r>
        <w:rPr>
          <w:rFonts w:hint="eastAsia" w:ascii="宋体" w:hAnsi="宋体" w:cs="宋体"/>
          <w:b w:val="0"/>
          <w:bCs w:val="0"/>
          <w:color w:val="000000" w:themeColor="text1"/>
          <w:sz w:val="24"/>
          <w:szCs w:val="24"/>
          <w14:textFill>
            <w14:solidFill>
              <w14:schemeClr w14:val="tx1"/>
            </w14:solidFill>
          </w14:textFill>
        </w:rPr>
        <w:t>的学院有经济</w:t>
      </w:r>
      <w:r>
        <w:rPr>
          <w:rFonts w:hint="eastAsia" w:ascii="宋体" w:hAnsi="宋体" w:cs="宋体"/>
          <w:b w:val="0"/>
          <w:bCs w:val="0"/>
          <w:color w:val="000000" w:themeColor="text1"/>
          <w:sz w:val="24"/>
          <w:szCs w:val="24"/>
          <w:lang w:eastAsia="zh-CN"/>
          <w14:textFill>
            <w14:solidFill>
              <w14:schemeClr w14:val="tx1"/>
            </w14:solidFill>
          </w14:textFill>
        </w:rPr>
        <w:t>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信息技术与管理学院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外国语学院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法学与公共管理学院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工程管理学院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数学与统计学院</w:t>
      </w:r>
      <w:r>
        <w:rPr>
          <w:rFonts w:hint="eastAsia" w:ascii="宋体" w:hAnsi="宋体" w:cs="宋体"/>
          <w:b w:val="0"/>
          <w:bCs w:val="0"/>
          <w:color w:val="000000" w:themeColor="text1"/>
          <w:sz w:val="24"/>
          <w:szCs w:val="24"/>
          <w14:textFill>
            <w14:solidFill>
              <w14:schemeClr w14:val="tx1"/>
            </w14:solidFill>
          </w14:textFill>
        </w:rPr>
        <w:t>、人文</w:t>
      </w:r>
      <w:r>
        <w:rPr>
          <w:rFonts w:hint="eastAsia" w:ascii="宋体" w:hAnsi="宋体" w:cs="宋体"/>
          <w:b w:val="0"/>
          <w:bCs w:val="0"/>
          <w:color w:val="000000" w:themeColor="text1"/>
          <w:sz w:val="24"/>
          <w:szCs w:val="24"/>
          <w:lang w:eastAsia="zh-CN"/>
          <w14:textFill>
            <w14:solidFill>
              <w14:schemeClr w14:val="tx1"/>
            </w14:solidFill>
          </w14:textFill>
        </w:rPr>
        <w:t>与艺术学院</w:t>
      </w:r>
      <w:r>
        <w:rPr>
          <w:rFonts w:hint="eastAsia" w:ascii="宋体" w:hAnsi="宋体" w:cs="宋体"/>
          <w:b w:val="0"/>
          <w:bCs w:val="0"/>
          <w:color w:val="000000" w:themeColor="text1"/>
          <w:sz w:val="24"/>
          <w:szCs w:val="24"/>
          <w14:textFill>
            <w14:solidFill>
              <w14:schemeClr w14:val="tx1"/>
            </w14:solidFill>
          </w14:textFill>
        </w:rPr>
        <w:t>、体育</w:t>
      </w:r>
      <w:r>
        <w:rPr>
          <w:rFonts w:hint="eastAsia" w:ascii="宋体" w:hAnsi="宋体" w:cs="宋体"/>
          <w:b w:val="0"/>
          <w:bCs w:val="0"/>
          <w:color w:val="000000" w:themeColor="text1"/>
          <w:sz w:val="24"/>
          <w:szCs w:val="24"/>
          <w:lang w:eastAsia="zh-CN"/>
          <w14:textFill>
            <w14:solidFill>
              <w14:schemeClr w14:val="tx1"/>
            </w14:solidFill>
          </w14:textFill>
        </w:rPr>
        <w:t>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第</w:t>
      </w: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cs="宋体"/>
          <w:b/>
          <w:bCs/>
          <w:color w:val="000000" w:themeColor="text1"/>
          <w:sz w:val="24"/>
          <w:szCs w:val="24"/>
          <w14:textFill>
            <w14:solidFill>
              <w14:schemeClr w14:val="tx1"/>
            </w14:solidFill>
          </w14:textFill>
        </w:rPr>
        <w:t>学期</w:t>
      </w:r>
      <w:r>
        <w:rPr>
          <w:rFonts w:hint="eastAsia" w:ascii="宋体" w:hAnsi="宋体" w:cs="宋体"/>
          <w:b w:val="0"/>
          <w:bCs w:val="0"/>
          <w:color w:val="000000" w:themeColor="text1"/>
          <w:sz w:val="24"/>
          <w:szCs w:val="24"/>
          <w:lang w:eastAsia="zh-CN"/>
          <w14:textFill>
            <w14:solidFill>
              <w14:schemeClr w14:val="tx1"/>
            </w14:solidFill>
          </w14:textFill>
        </w:rPr>
        <w:t>开设</w:t>
      </w:r>
      <w:r>
        <w:rPr>
          <w:rFonts w:hint="eastAsia" w:ascii="宋体" w:hAnsi="宋体" w:cs="宋体"/>
          <w:b w:val="0"/>
          <w:bCs w:val="0"/>
          <w:color w:val="000000" w:themeColor="text1"/>
          <w:sz w:val="24"/>
          <w:szCs w:val="24"/>
          <w14:textFill>
            <w14:solidFill>
              <w14:schemeClr w14:val="tx1"/>
            </w14:solidFill>
          </w14:textFill>
        </w:rPr>
        <w:t>的学院有</w:t>
      </w:r>
      <w:r>
        <w:rPr>
          <w:rFonts w:hint="eastAsia" w:ascii="宋体" w:hAnsi="宋体" w:cs="宋体"/>
          <w:b w:val="0"/>
          <w:bCs w:val="0"/>
          <w:color w:val="000000" w:themeColor="text1"/>
          <w:sz w:val="24"/>
          <w:szCs w:val="24"/>
          <w:lang w:eastAsia="zh-CN"/>
          <w14:textFill>
            <w14:solidFill>
              <w14:schemeClr w14:val="tx1"/>
            </w14:solidFill>
          </w14:textFill>
        </w:rPr>
        <w:t>会计学院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财政金融学院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工商管理学院</w:t>
      </w:r>
      <w:r>
        <w:rPr>
          <w:rFonts w:hint="eastAsia" w:ascii="宋体" w:hAnsi="宋体" w:cs="宋体"/>
          <w:b w:val="0"/>
          <w:bCs w:val="0"/>
          <w:color w:val="000000" w:themeColor="text1"/>
          <w:sz w:val="24"/>
          <w:szCs w:val="24"/>
          <w14:textFill>
            <w14:solidFill>
              <w14:schemeClr w14:val="tx1"/>
            </w14:solidFill>
          </w14:textFill>
        </w:rPr>
        <w:t>、厚生</w:t>
      </w:r>
      <w:r>
        <w:rPr>
          <w:rFonts w:hint="eastAsia" w:ascii="宋体" w:hAnsi="宋体" w:cs="宋体"/>
          <w:b w:val="0"/>
          <w:bCs w:val="0"/>
          <w:color w:val="000000" w:themeColor="text1"/>
          <w:sz w:val="24"/>
          <w:szCs w:val="24"/>
          <w:lang w:eastAsia="zh-CN"/>
          <w14:textFill>
            <w14:solidFill>
              <w14:schemeClr w14:val="tx1"/>
            </w14:solidFill>
          </w14:textFill>
        </w:rPr>
        <w:t>国际教育学院、</w:t>
      </w:r>
      <w:r>
        <w:rPr>
          <w:rFonts w:hint="eastAsia" w:ascii="宋体" w:hAnsi="宋体" w:cs="宋体"/>
          <w:b w:val="0"/>
          <w:bCs w:val="0"/>
          <w:color w:val="auto"/>
          <w:sz w:val="24"/>
          <w:szCs w:val="24"/>
          <w:lang w:eastAsia="zh-CN"/>
        </w:rPr>
        <w:t>马克思主义学院</w:t>
      </w:r>
      <w:r>
        <w:rPr>
          <w:rFonts w:hint="eastAsia" w:ascii="宋体" w:hAnsi="宋体" w:cs="宋体"/>
          <w:b w:val="0"/>
          <w:bCs w:val="0"/>
          <w:color w:val="auto"/>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宋体" w:hAnsi="宋体" w:cs="宋体"/>
          <w:b w:val="0"/>
          <w:bCs w:val="0"/>
          <w:color w:val="000000" w:themeColor="text1"/>
          <w:sz w:val="24"/>
          <w:szCs w:val="24"/>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w:t>
      </w:r>
      <w:r>
        <w:rPr>
          <w:rFonts w:hint="eastAsia" w:ascii="宋体" w:hAnsi="宋体" w:cs="宋体"/>
          <w:b w:val="0"/>
          <w:bCs w:val="0"/>
          <w:color w:val="000000" w:themeColor="text1"/>
          <w:sz w:val="24"/>
          <w:szCs w:val="24"/>
          <w14:textFill>
            <w14:solidFill>
              <w14:schemeClr w14:val="tx1"/>
            </w14:solidFill>
          </w14:textFill>
        </w:rPr>
        <w:t>．《创业基础》按学院分两个学期设置：</w:t>
      </w:r>
      <w:r>
        <w:rPr>
          <w:rFonts w:hint="eastAsia" w:ascii="宋体" w:hAnsi="宋体" w:cs="宋体"/>
          <w:b/>
          <w:bCs/>
          <w:color w:val="000000" w:themeColor="text1"/>
          <w:sz w:val="24"/>
          <w:szCs w:val="24"/>
          <w14:textFill>
            <w14:solidFill>
              <w14:schemeClr w14:val="tx1"/>
            </w14:solidFill>
          </w14:textFill>
        </w:rPr>
        <w:t>第</w:t>
      </w: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cs="宋体"/>
          <w:b/>
          <w:bCs/>
          <w:color w:val="000000" w:themeColor="text1"/>
          <w:sz w:val="24"/>
          <w:szCs w:val="24"/>
          <w14:textFill>
            <w14:solidFill>
              <w14:schemeClr w14:val="tx1"/>
            </w14:solidFill>
          </w14:textFill>
        </w:rPr>
        <w:t>学期</w:t>
      </w:r>
      <w:r>
        <w:rPr>
          <w:rFonts w:hint="eastAsia" w:ascii="宋体" w:hAnsi="宋体" w:cs="宋体"/>
          <w:b w:val="0"/>
          <w:bCs w:val="0"/>
          <w:color w:val="000000" w:themeColor="text1"/>
          <w:sz w:val="24"/>
          <w:szCs w:val="24"/>
          <w:lang w:eastAsia="zh-CN"/>
          <w14:textFill>
            <w14:solidFill>
              <w14:schemeClr w14:val="tx1"/>
            </w14:solidFill>
          </w14:textFill>
        </w:rPr>
        <w:t>开设</w:t>
      </w:r>
      <w:r>
        <w:rPr>
          <w:rFonts w:hint="eastAsia" w:ascii="宋体" w:hAnsi="宋体" w:cs="宋体"/>
          <w:b w:val="0"/>
          <w:bCs w:val="0"/>
          <w:color w:val="000000" w:themeColor="text1"/>
          <w:sz w:val="24"/>
          <w:szCs w:val="24"/>
          <w14:textFill>
            <w14:solidFill>
              <w14:schemeClr w14:val="tx1"/>
            </w14:solidFill>
          </w14:textFill>
        </w:rPr>
        <w:t>的学院有会计</w:t>
      </w:r>
      <w:r>
        <w:rPr>
          <w:rFonts w:hint="eastAsia" w:ascii="宋体" w:hAnsi="宋体" w:cs="宋体"/>
          <w:b w:val="0"/>
          <w:bCs w:val="0"/>
          <w:color w:val="000000" w:themeColor="text1"/>
          <w:sz w:val="24"/>
          <w:szCs w:val="24"/>
          <w:lang w:eastAsia="zh-CN"/>
          <w14:textFill>
            <w14:solidFill>
              <w14:schemeClr w14:val="tx1"/>
            </w14:solidFill>
          </w14:textFill>
        </w:rPr>
        <w:t>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财政金融学院</w:t>
      </w:r>
      <w:r>
        <w:rPr>
          <w:rFonts w:hint="eastAsia" w:ascii="宋体" w:hAnsi="宋体" w:cs="宋体"/>
          <w:b w:val="0"/>
          <w:bCs w:val="0"/>
          <w:color w:val="000000" w:themeColor="text1"/>
          <w:sz w:val="24"/>
          <w:szCs w:val="24"/>
          <w14:textFill>
            <w14:solidFill>
              <w14:schemeClr w14:val="tx1"/>
            </w14:solidFill>
          </w14:textFill>
        </w:rPr>
        <w:t>、工商</w:t>
      </w:r>
      <w:r>
        <w:rPr>
          <w:rFonts w:hint="eastAsia" w:ascii="宋体" w:hAnsi="宋体" w:cs="宋体"/>
          <w:b w:val="0"/>
          <w:bCs w:val="0"/>
          <w:color w:val="000000" w:themeColor="text1"/>
          <w:sz w:val="24"/>
          <w:szCs w:val="24"/>
          <w:lang w:eastAsia="zh-CN"/>
          <w14:textFill>
            <w14:solidFill>
              <w14:schemeClr w14:val="tx1"/>
            </w14:solidFill>
          </w14:textFill>
        </w:rPr>
        <w:t>管理学院</w:t>
      </w:r>
      <w:r>
        <w:rPr>
          <w:rFonts w:hint="eastAsia" w:ascii="宋体" w:hAnsi="宋体" w:cs="宋体"/>
          <w:b w:val="0"/>
          <w:bCs w:val="0"/>
          <w:color w:val="000000" w:themeColor="text1"/>
          <w:sz w:val="24"/>
          <w:szCs w:val="24"/>
          <w14:textFill>
            <w14:solidFill>
              <w14:schemeClr w14:val="tx1"/>
            </w14:solidFill>
          </w14:textFill>
        </w:rPr>
        <w:t>、厚生</w:t>
      </w:r>
      <w:r>
        <w:rPr>
          <w:rFonts w:hint="eastAsia" w:ascii="宋体" w:hAnsi="宋体" w:cs="宋体"/>
          <w:b w:val="0"/>
          <w:bCs w:val="0"/>
          <w:color w:val="000000" w:themeColor="text1"/>
          <w:sz w:val="24"/>
          <w:szCs w:val="24"/>
          <w:lang w:eastAsia="zh-CN"/>
          <w14:textFill>
            <w14:solidFill>
              <w14:schemeClr w14:val="tx1"/>
            </w14:solidFill>
          </w14:textFill>
        </w:rPr>
        <w:t>国际教育学院</w:t>
      </w:r>
      <w:r>
        <w:rPr>
          <w:rFonts w:hint="eastAsia" w:ascii="宋体" w:hAnsi="宋体" w:cs="宋体"/>
          <w:b w:val="0"/>
          <w:bCs w:val="0"/>
          <w:color w:val="000000" w:themeColor="text1"/>
          <w:sz w:val="24"/>
          <w:szCs w:val="24"/>
          <w:lang w:val="en-US" w:eastAsia="zh-CN"/>
          <w14:textFill>
            <w14:solidFill>
              <w14:schemeClr w14:val="tx1"/>
            </w14:solidFill>
          </w14:textFill>
        </w:rPr>
        <w:t>、</w:t>
      </w:r>
      <w:r>
        <w:rPr>
          <w:rFonts w:hint="eastAsia" w:ascii="宋体" w:hAnsi="宋体" w:cs="宋体"/>
          <w:b w:val="0"/>
          <w:bCs w:val="0"/>
          <w:color w:val="auto"/>
          <w:sz w:val="24"/>
          <w:szCs w:val="24"/>
          <w:lang w:val="en-US" w:eastAsia="zh-CN"/>
        </w:rPr>
        <w:t>马克思主义学院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第</w:t>
      </w:r>
      <w:r>
        <w:rPr>
          <w:rFonts w:hint="eastAsia" w:ascii="宋体" w:hAnsi="宋体" w:cs="宋体"/>
          <w:b/>
          <w:bCs/>
          <w:color w:val="000000" w:themeColor="text1"/>
          <w:sz w:val="24"/>
          <w:szCs w:val="24"/>
          <w:lang w:val="en-US" w:eastAsia="zh-CN"/>
          <w14:textFill>
            <w14:solidFill>
              <w14:schemeClr w14:val="tx1"/>
            </w14:solidFill>
          </w14:textFill>
        </w:rPr>
        <w:t>4</w:t>
      </w:r>
      <w:r>
        <w:rPr>
          <w:rFonts w:hint="eastAsia" w:ascii="宋体" w:hAnsi="宋体" w:cs="宋体"/>
          <w:b/>
          <w:bCs/>
          <w:color w:val="000000" w:themeColor="text1"/>
          <w:sz w:val="24"/>
          <w:szCs w:val="24"/>
          <w14:textFill>
            <w14:solidFill>
              <w14:schemeClr w14:val="tx1"/>
            </w14:solidFill>
          </w14:textFill>
        </w:rPr>
        <w:t>学期</w:t>
      </w:r>
      <w:r>
        <w:rPr>
          <w:rFonts w:hint="eastAsia" w:ascii="宋体" w:hAnsi="宋体" w:cs="宋体"/>
          <w:b w:val="0"/>
          <w:bCs w:val="0"/>
          <w:color w:val="000000" w:themeColor="text1"/>
          <w:sz w:val="24"/>
          <w:szCs w:val="24"/>
          <w14:textFill>
            <w14:solidFill>
              <w14:schemeClr w14:val="tx1"/>
            </w14:solidFill>
          </w14:textFill>
        </w:rPr>
        <w:t>的学院有经济</w:t>
      </w:r>
      <w:r>
        <w:rPr>
          <w:rFonts w:hint="eastAsia" w:ascii="宋体" w:hAnsi="宋体" w:cs="宋体"/>
          <w:b w:val="0"/>
          <w:bCs w:val="0"/>
          <w:color w:val="000000" w:themeColor="text1"/>
          <w:sz w:val="24"/>
          <w:szCs w:val="24"/>
          <w:lang w:eastAsia="zh-CN"/>
          <w14:textFill>
            <w14:solidFill>
              <w14:schemeClr w14:val="tx1"/>
            </w14:solidFill>
          </w14:textFill>
        </w:rPr>
        <w:t>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信息技术与管理学院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外国语学院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法学与公共管理学院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工程管理学院</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000000" w:themeColor="text1"/>
          <w:sz w:val="24"/>
          <w:szCs w:val="24"/>
          <w:lang w:eastAsia="zh-CN"/>
          <w14:textFill>
            <w14:solidFill>
              <w14:schemeClr w14:val="tx1"/>
            </w14:solidFill>
          </w14:textFill>
        </w:rPr>
        <w:t>数学与统计学院</w:t>
      </w:r>
      <w:r>
        <w:rPr>
          <w:rFonts w:hint="eastAsia" w:ascii="宋体" w:hAnsi="宋体" w:cs="宋体"/>
          <w:b w:val="0"/>
          <w:bCs w:val="0"/>
          <w:color w:val="000000" w:themeColor="text1"/>
          <w:sz w:val="24"/>
          <w:szCs w:val="24"/>
          <w14:textFill>
            <w14:solidFill>
              <w14:schemeClr w14:val="tx1"/>
            </w14:solidFill>
          </w14:textFill>
        </w:rPr>
        <w:t>、人文</w:t>
      </w:r>
      <w:r>
        <w:rPr>
          <w:rFonts w:hint="eastAsia" w:ascii="宋体" w:hAnsi="宋体" w:cs="宋体"/>
          <w:b w:val="0"/>
          <w:bCs w:val="0"/>
          <w:color w:val="000000" w:themeColor="text1"/>
          <w:sz w:val="24"/>
          <w:szCs w:val="24"/>
          <w:lang w:eastAsia="zh-CN"/>
          <w14:textFill>
            <w14:solidFill>
              <w14:schemeClr w14:val="tx1"/>
            </w14:solidFill>
          </w14:textFill>
        </w:rPr>
        <w:t>与艺术学院</w:t>
      </w:r>
      <w:r>
        <w:rPr>
          <w:rFonts w:hint="eastAsia" w:ascii="宋体" w:hAnsi="宋体" w:cs="宋体"/>
          <w:b w:val="0"/>
          <w:bCs w:val="0"/>
          <w:color w:val="000000" w:themeColor="text1"/>
          <w:sz w:val="24"/>
          <w:szCs w:val="24"/>
          <w14:textFill>
            <w14:solidFill>
              <w14:schemeClr w14:val="tx1"/>
            </w14:solidFill>
          </w14:textFill>
        </w:rPr>
        <w:t>、体育</w:t>
      </w:r>
      <w:r>
        <w:rPr>
          <w:rFonts w:hint="eastAsia" w:ascii="宋体" w:hAnsi="宋体" w:cs="宋体"/>
          <w:b w:val="0"/>
          <w:bCs w:val="0"/>
          <w:color w:val="000000" w:themeColor="text1"/>
          <w:sz w:val="24"/>
          <w:szCs w:val="24"/>
          <w:lang w:eastAsia="zh-CN"/>
          <w14:textFill>
            <w14:solidFill>
              <w14:schemeClr w14:val="tx1"/>
            </w14:solidFill>
          </w14:textFill>
        </w:rPr>
        <w:t>学院</w:t>
      </w:r>
      <w:r>
        <w:rPr>
          <w:rFonts w:hint="eastAsia" w:ascii="宋体" w:hAnsi="宋体" w:cs="宋体"/>
          <w:b w:val="0"/>
          <w:bCs w:val="0"/>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rPr>
      </w:pPr>
      <w:r>
        <w:rPr>
          <w:rFonts w:hint="eastAsia" w:ascii="宋体" w:hAnsi="宋体" w:cs="宋体"/>
          <w:b w:val="0"/>
          <w:bCs w:val="0"/>
          <w:color w:val="000000" w:themeColor="text1"/>
          <w:sz w:val="24"/>
          <w:szCs w:val="24"/>
          <w:lang w:val="en-US" w:eastAsia="zh-CN"/>
          <w14:textFill>
            <w14:solidFill>
              <w14:schemeClr w14:val="tx1"/>
            </w14:solidFill>
          </w14:textFill>
        </w:rPr>
        <w:t>4</w:t>
      </w:r>
      <w:r>
        <w:rPr>
          <w:rFonts w:hint="eastAsia" w:ascii="宋体" w:hAnsi="宋体" w:cs="宋体"/>
          <w:b w:val="0"/>
          <w:bCs w:val="0"/>
          <w:color w:val="000000" w:themeColor="text1"/>
          <w:sz w:val="24"/>
          <w:szCs w:val="24"/>
          <w14:textFill>
            <w14:solidFill>
              <w14:schemeClr w14:val="tx1"/>
            </w14:solidFill>
          </w14:textFill>
        </w:rPr>
        <w:t>.</w:t>
      </w:r>
      <w:r>
        <w:rPr>
          <w:rFonts w:hint="eastAsia" w:ascii="宋体" w:hAnsi="宋体" w:cs="宋体"/>
          <w:b w:val="0"/>
          <w:bCs w:val="0"/>
          <w:color w:val="auto"/>
          <w:sz w:val="24"/>
          <w:szCs w:val="24"/>
        </w:rPr>
        <w:t>《高等数学Ⅲ》（上、下）开设的专业主要是经济类、管理类；法学类、文学类、艺术类专业开设《高等数学Ⅱ》（即大学文科数学）；理工类专业开设《高等数学1》；休闲体育专业可不开设《高等数学》。</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rPr>
      </w:pPr>
      <w:r>
        <w:rPr>
          <w:rFonts w:hint="eastAsia" w:ascii="宋体" w:hAnsi="宋体" w:cs="宋体"/>
          <w:b w:val="0"/>
          <w:bCs w:val="0"/>
          <w:color w:val="auto"/>
          <w:sz w:val="24"/>
          <w:szCs w:val="24"/>
          <w:lang w:val="en-US" w:eastAsia="zh-CN"/>
        </w:rPr>
        <w:t>5</w:t>
      </w:r>
      <w:r>
        <w:rPr>
          <w:rFonts w:hint="eastAsia" w:ascii="宋体" w:hAnsi="宋体" w:cs="宋体"/>
          <w:b w:val="0"/>
          <w:bCs w:val="0"/>
          <w:color w:val="auto"/>
          <w:sz w:val="24"/>
          <w:szCs w:val="24"/>
        </w:rPr>
        <w:t>.思想政治课模块相关课程的设置：《思想道德与</w:t>
      </w:r>
      <w:r>
        <w:rPr>
          <w:rFonts w:hint="eastAsia" w:ascii="宋体" w:hAnsi="宋体" w:cs="宋体"/>
          <w:b w:val="0"/>
          <w:bCs w:val="0"/>
          <w:color w:val="auto"/>
          <w:sz w:val="24"/>
          <w:szCs w:val="24"/>
          <w:lang w:eastAsia="zh-CN"/>
        </w:rPr>
        <w:t>法治</w:t>
      </w:r>
      <w:r>
        <w:rPr>
          <w:rFonts w:hint="eastAsia" w:ascii="宋体" w:hAnsi="宋体" w:cs="宋体"/>
          <w:b w:val="0"/>
          <w:bCs w:val="0"/>
          <w:color w:val="auto"/>
          <w:sz w:val="24"/>
          <w:szCs w:val="24"/>
        </w:rPr>
        <w:t>》、《中国近现代史纲要》、《马克思主义基本原理》均为3学分，48学时（课堂讲授32学时，专项教学活动8学时，实践教学8学时），《毛泽东思想和中国特色社会主义理论体系概论》为5学分，80学时（课堂讲授60学时，专项教学活动12学时，实践教学8学时），《形势与政策》为2学分，64学时（课堂讲授32学时，其他教学32学时）。“专项教学活动”按相应方案进课表实施教学活动，“实践教学”和“其他教学”需根据相应方案组织课外实践。</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6.根据《普通高等学校本科专业教学质量国家标准（马克思主义理论类）》有关要求，建议马克思主义学院思想政治教育专业根据实际情况将思想政治理论课中的相关课程纳入马克思主义理论类专业课程，不单独开设《思想道德与法治》、《中国近现代史纲要》、《马克思主义基本原理》《毛泽东思想和中国特色社会主义理论体系概论》。</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cs="宋体"/>
          <w:b w:val="0"/>
          <w:bCs w:val="0"/>
          <w:color w:val="auto"/>
          <w:sz w:val="24"/>
          <w:szCs w:val="24"/>
          <w:lang w:val="en-US" w:eastAsia="zh-CN"/>
        </w:rPr>
      </w:pPr>
    </w:p>
    <w:p>
      <w:pPr>
        <w:adjustRightInd w:val="0"/>
        <w:snapToGrid w:val="0"/>
        <w:spacing w:line="360" w:lineRule="exact"/>
        <w:jc w:val="center"/>
        <w:rPr>
          <w:rFonts w:hint="eastAsia" w:ascii="宋体" w:hAnsi="宋体" w:cs="宋体"/>
          <w:b/>
          <w:bCs/>
          <w:color w:val="000000" w:themeColor="text1"/>
          <w:szCs w:val="21"/>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表2：</w:t>
      </w:r>
      <w:r>
        <w:rPr>
          <w:rFonts w:hint="eastAsia" w:ascii="宋体" w:hAnsi="宋体" w:cs="宋体"/>
          <w:b/>
          <w:bCs/>
          <w:color w:val="000000" w:themeColor="text1"/>
          <w:sz w:val="24"/>
          <w:szCs w:val="24"/>
          <w:lang w:eastAsia="zh-CN"/>
          <w14:textFill>
            <w14:solidFill>
              <w14:schemeClr w14:val="tx1"/>
            </w14:solidFill>
          </w14:textFill>
        </w:rPr>
        <w:t>数学类课程建议设置方案</w:t>
      </w:r>
    </w:p>
    <w:tbl>
      <w:tblPr>
        <w:tblStyle w:val="5"/>
        <w:tblW w:w="988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1036"/>
        <w:gridCol w:w="1922"/>
        <w:gridCol w:w="709"/>
        <w:gridCol w:w="425"/>
        <w:gridCol w:w="613"/>
        <w:gridCol w:w="521"/>
        <w:gridCol w:w="425"/>
        <w:gridCol w:w="425"/>
        <w:gridCol w:w="567"/>
        <w:gridCol w:w="695"/>
        <w:gridCol w:w="1262"/>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restart"/>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序号</w:t>
            </w:r>
          </w:p>
        </w:tc>
        <w:tc>
          <w:tcPr>
            <w:tcW w:w="1036" w:type="dxa"/>
            <w:vMerge w:val="restart"/>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课程代码</w:t>
            </w:r>
          </w:p>
        </w:tc>
        <w:tc>
          <w:tcPr>
            <w:tcW w:w="1922" w:type="dxa"/>
            <w:vMerge w:val="restart"/>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课程名称</w:t>
            </w:r>
          </w:p>
        </w:tc>
        <w:tc>
          <w:tcPr>
            <w:tcW w:w="709" w:type="dxa"/>
            <w:vMerge w:val="restart"/>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学时</w:t>
            </w:r>
          </w:p>
        </w:tc>
        <w:tc>
          <w:tcPr>
            <w:tcW w:w="425" w:type="dxa"/>
            <w:vMerge w:val="restart"/>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学分</w:t>
            </w:r>
          </w:p>
        </w:tc>
        <w:tc>
          <w:tcPr>
            <w:tcW w:w="1984" w:type="dxa"/>
            <w:gridSpan w:val="4"/>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学时分配</w:t>
            </w:r>
          </w:p>
        </w:tc>
        <w:tc>
          <w:tcPr>
            <w:tcW w:w="567" w:type="dxa"/>
            <w:vMerge w:val="restart"/>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开课学期</w:t>
            </w:r>
          </w:p>
        </w:tc>
        <w:tc>
          <w:tcPr>
            <w:tcW w:w="695" w:type="dxa"/>
            <w:vMerge w:val="restart"/>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考核方式</w:t>
            </w:r>
          </w:p>
        </w:tc>
        <w:tc>
          <w:tcPr>
            <w:tcW w:w="1262" w:type="dxa"/>
            <w:vMerge w:val="restart"/>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课程模块</w:t>
            </w:r>
          </w:p>
        </w:tc>
        <w:tc>
          <w:tcPr>
            <w:tcW w:w="842" w:type="dxa"/>
            <w:vMerge w:val="restart"/>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continue"/>
            <w:vAlign w:val="center"/>
          </w:tcPr>
          <w:p>
            <w:pPr>
              <w:spacing w:line="240" w:lineRule="exact"/>
              <w:ind w:left="42" w:leftChars="20"/>
              <w:jc w:val="center"/>
              <w:rPr>
                <w:rStyle w:val="8"/>
                <w:rFonts w:hint="eastAsia" w:ascii="Times New Roman" w:hAnsi="Times New Roman" w:eastAsiaTheme="minorEastAsia" w:cstheme="minorBidi"/>
                <w:sz w:val="18"/>
                <w:szCs w:val="18"/>
              </w:rPr>
            </w:pPr>
          </w:p>
        </w:tc>
        <w:tc>
          <w:tcPr>
            <w:tcW w:w="1036" w:type="dxa"/>
            <w:vMerge w:val="continue"/>
          </w:tcPr>
          <w:p>
            <w:pPr>
              <w:spacing w:line="240" w:lineRule="exact"/>
              <w:ind w:left="42" w:leftChars="20"/>
              <w:jc w:val="center"/>
              <w:rPr>
                <w:rStyle w:val="8"/>
                <w:rFonts w:hint="eastAsia" w:ascii="Times New Roman" w:hAnsi="Times New Roman" w:eastAsiaTheme="minorEastAsia" w:cstheme="minorBidi"/>
                <w:sz w:val="18"/>
                <w:szCs w:val="18"/>
              </w:rPr>
            </w:pPr>
          </w:p>
        </w:tc>
        <w:tc>
          <w:tcPr>
            <w:tcW w:w="1922" w:type="dxa"/>
            <w:vMerge w:val="continue"/>
          </w:tcPr>
          <w:p>
            <w:pPr>
              <w:spacing w:line="240" w:lineRule="exact"/>
              <w:ind w:left="42" w:leftChars="20"/>
              <w:jc w:val="center"/>
              <w:rPr>
                <w:rStyle w:val="8"/>
                <w:rFonts w:hint="eastAsia" w:ascii="Times New Roman" w:hAnsi="Times New Roman" w:eastAsiaTheme="minorEastAsia" w:cstheme="minorBidi"/>
                <w:sz w:val="18"/>
                <w:szCs w:val="18"/>
              </w:rPr>
            </w:pPr>
          </w:p>
        </w:tc>
        <w:tc>
          <w:tcPr>
            <w:tcW w:w="709" w:type="dxa"/>
            <w:vMerge w:val="continue"/>
          </w:tcPr>
          <w:p>
            <w:pPr>
              <w:spacing w:line="240" w:lineRule="exact"/>
              <w:ind w:left="42" w:leftChars="20"/>
              <w:jc w:val="center"/>
              <w:rPr>
                <w:rStyle w:val="8"/>
                <w:rFonts w:hint="eastAsia" w:ascii="Times New Roman" w:hAnsi="Times New Roman" w:eastAsiaTheme="minorEastAsia" w:cstheme="minorBidi"/>
                <w:sz w:val="18"/>
                <w:szCs w:val="18"/>
              </w:rPr>
            </w:pPr>
          </w:p>
        </w:tc>
        <w:tc>
          <w:tcPr>
            <w:tcW w:w="425" w:type="dxa"/>
            <w:vMerge w:val="continue"/>
          </w:tcPr>
          <w:p>
            <w:pPr>
              <w:spacing w:line="240" w:lineRule="exact"/>
              <w:ind w:left="42" w:leftChars="20"/>
              <w:jc w:val="center"/>
              <w:rPr>
                <w:rStyle w:val="8"/>
                <w:rFonts w:hint="eastAsia" w:ascii="Times New Roman" w:hAnsi="Times New Roman" w:eastAsiaTheme="minorEastAsia" w:cstheme="minorBidi"/>
                <w:sz w:val="18"/>
                <w:szCs w:val="18"/>
              </w:rPr>
            </w:pPr>
          </w:p>
        </w:tc>
        <w:tc>
          <w:tcPr>
            <w:tcW w:w="613" w:type="dxa"/>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讲授</w:t>
            </w:r>
          </w:p>
        </w:tc>
        <w:tc>
          <w:tcPr>
            <w:tcW w:w="521" w:type="dxa"/>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专题讲座</w:t>
            </w:r>
          </w:p>
        </w:tc>
        <w:tc>
          <w:tcPr>
            <w:tcW w:w="425" w:type="dxa"/>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课程实践</w:t>
            </w:r>
          </w:p>
        </w:tc>
        <w:tc>
          <w:tcPr>
            <w:tcW w:w="425" w:type="dxa"/>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自主学习</w:t>
            </w:r>
          </w:p>
        </w:tc>
        <w:tc>
          <w:tcPr>
            <w:tcW w:w="567" w:type="dxa"/>
            <w:vMerge w:val="continue"/>
          </w:tcPr>
          <w:p>
            <w:pPr>
              <w:spacing w:line="240" w:lineRule="exact"/>
              <w:ind w:left="42" w:leftChars="20"/>
              <w:jc w:val="center"/>
              <w:rPr>
                <w:rStyle w:val="8"/>
                <w:rFonts w:hint="eastAsia" w:ascii="Times New Roman" w:hAnsi="Times New Roman" w:eastAsiaTheme="minorEastAsia" w:cstheme="minorBidi"/>
                <w:sz w:val="18"/>
                <w:szCs w:val="18"/>
              </w:rPr>
            </w:pPr>
          </w:p>
        </w:tc>
        <w:tc>
          <w:tcPr>
            <w:tcW w:w="695" w:type="dxa"/>
            <w:vMerge w:val="continue"/>
          </w:tcPr>
          <w:p>
            <w:pPr>
              <w:spacing w:line="240" w:lineRule="exact"/>
              <w:ind w:left="42" w:leftChars="20"/>
              <w:jc w:val="center"/>
              <w:rPr>
                <w:rStyle w:val="8"/>
                <w:rFonts w:hint="eastAsia" w:ascii="Times New Roman" w:hAnsi="Times New Roman" w:eastAsiaTheme="minorEastAsia" w:cstheme="minorBidi"/>
                <w:sz w:val="18"/>
                <w:szCs w:val="18"/>
              </w:rPr>
            </w:pPr>
          </w:p>
        </w:tc>
        <w:tc>
          <w:tcPr>
            <w:tcW w:w="1262" w:type="dxa"/>
            <w:vMerge w:val="continue"/>
          </w:tcPr>
          <w:p>
            <w:pPr>
              <w:spacing w:line="240" w:lineRule="exact"/>
              <w:ind w:left="42" w:leftChars="20"/>
              <w:jc w:val="center"/>
              <w:rPr>
                <w:rStyle w:val="8"/>
                <w:rFonts w:hint="eastAsia" w:ascii="Times New Roman" w:hAnsi="Times New Roman" w:eastAsiaTheme="minorEastAsia" w:cstheme="minorBidi"/>
                <w:sz w:val="18"/>
                <w:szCs w:val="18"/>
              </w:rPr>
            </w:pPr>
          </w:p>
        </w:tc>
        <w:tc>
          <w:tcPr>
            <w:tcW w:w="842" w:type="dxa"/>
            <w:vMerge w:val="continue"/>
          </w:tcPr>
          <w:p>
            <w:pPr>
              <w:spacing w:line="240" w:lineRule="exact"/>
              <w:ind w:left="42" w:leftChars="20"/>
              <w:jc w:val="cente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445"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w:t>
            </w:r>
          </w:p>
        </w:tc>
        <w:tc>
          <w:tcPr>
            <w:tcW w:w="1036"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10023591</w:t>
            </w:r>
          </w:p>
        </w:tc>
        <w:tc>
          <w:tcPr>
            <w:tcW w:w="1922"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高等数学III（上）</w:t>
            </w:r>
          </w:p>
        </w:tc>
        <w:tc>
          <w:tcPr>
            <w:tcW w:w="709"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48</w:t>
            </w:r>
          </w:p>
        </w:tc>
        <w:tc>
          <w:tcPr>
            <w:tcW w:w="425"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3</w:t>
            </w:r>
          </w:p>
        </w:tc>
        <w:tc>
          <w:tcPr>
            <w:tcW w:w="613"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48</w:t>
            </w:r>
          </w:p>
        </w:tc>
        <w:tc>
          <w:tcPr>
            <w:tcW w:w="521"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p>
        </w:tc>
        <w:tc>
          <w:tcPr>
            <w:tcW w:w="425"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p>
        </w:tc>
        <w:tc>
          <w:tcPr>
            <w:tcW w:w="425"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w:t>
            </w:r>
          </w:p>
        </w:tc>
        <w:tc>
          <w:tcPr>
            <w:tcW w:w="695"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考试</w:t>
            </w:r>
          </w:p>
        </w:tc>
        <w:tc>
          <w:tcPr>
            <w:tcW w:w="1262" w:type="dxa"/>
            <w:vMerge w:val="restart"/>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公共基础必修课</w:t>
            </w:r>
          </w:p>
        </w:tc>
        <w:tc>
          <w:tcPr>
            <w:tcW w:w="842" w:type="dxa"/>
            <w:vMerge w:val="restart"/>
          </w:tcPr>
          <w:p>
            <w:pPr>
              <w:spacing w:line="240" w:lineRule="exact"/>
              <w:ind w:left="42" w:leftChars="20"/>
              <w:jc w:val="center"/>
              <w:rPr>
                <w:rStyle w:val="8"/>
                <w:rFonts w:hint="eastAsia" w:ascii="Times New Roman" w:hAnsi="Times New Roman" w:eastAsiaTheme="minorEastAsia" w:cstheme="minorBidi"/>
                <w:sz w:val="18"/>
                <w:szCs w:val="18"/>
              </w:rPr>
            </w:pPr>
          </w:p>
          <w:p>
            <w:pPr>
              <w:spacing w:line="240" w:lineRule="exact"/>
              <w:ind w:left="42" w:leftChars="20"/>
              <w:jc w:val="center"/>
              <w:rPr>
                <w:rStyle w:val="8"/>
                <w:rFonts w:hint="eastAsia" w:ascii="Times New Roman" w:hAnsi="Times New Roman" w:eastAsiaTheme="minorEastAsia" w:cstheme="minorBidi"/>
                <w:sz w:val="18"/>
                <w:szCs w:val="18"/>
              </w:rPr>
            </w:pPr>
          </w:p>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经</w:t>
            </w:r>
          </w:p>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管</w:t>
            </w:r>
          </w:p>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类</w:t>
            </w:r>
          </w:p>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专</w:t>
            </w:r>
          </w:p>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445"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2</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10023621</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高等数学Ⅲ（下）</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2</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continue"/>
            <w:vAlign w:val="center"/>
          </w:tcPr>
          <w:p>
            <w:pPr>
              <w:jc w:val="center"/>
              <w:rPr>
                <w:rStyle w:val="8"/>
                <w:rFonts w:hint="eastAsia" w:ascii="Times New Roman" w:hAnsi="Times New Roman" w:eastAsiaTheme="minorEastAsia" w:cstheme="minorBidi"/>
                <w:sz w:val="18"/>
                <w:szCs w:val="18"/>
              </w:rPr>
            </w:pP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restart"/>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3</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10023793</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线性代数A</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restart"/>
            <w:vAlign w:val="center"/>
          </w:tcPr>
          <w:p>
            <w:pPr>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学科</w:t>
            </w:r>
            <w:r>
              <w:rPr>
                <w:rStyle w:val="8"/>
                <w:rFonts w:hint="eastAsia" w:ascii="Times New Roman" w:hAnsi="Times New Roman" w:eastAsiaTheme="minorEastAsia" w:cstheme="minorBidi"/>
                <w:sz w:val="18"/>
                <w:szCs w:val="18"/>
                <w:lang w:eastAsia="zh-CN"/>
              </w:rPr>
              <w:t>（专业）</w:t>
            </w:r>
            <w:r>
              <w:rPr>
                <w:rStyle w:val="8"/>
                <w:rFonts w:hint="eastAsia" w:ascii="Times New Roman" w:hAnsi="Times New Roman" w:eastAsiaTheme="minorEastAsia" w:cstheme="minorBidi"/>
                <w:sz w:val="18"/>
                <w:szCs w:val="18"/>
              </w:rPr>
              <w:t>基础课</w:t>
            </w: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continue"/>
            <w:vAlign w:val="center"/>
          </w:tcPr>
          <w:p>
            <w:pPr>
              <w:spacing w:line="240" w:lineRule="exact"/>
              <w:ind w:left="42" w:leftChars="20"/>
              <w:jc w:val="center"/>
              <w:rPr>
                <w:rStyle w:val="8"/>
                <w:rFonts w:ascii="Times New Roman" w:hAnsi="Times New Roman" w:eastAsiaTheme="minorEastAsia" w:cstheme="minorBidi"/>
                <w:sz w:val="18"/>
                <w:szCs w:val="18"/>
              </w:rPr>
            </w:pP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10023783</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线性代数B</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32</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2</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32</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95" w:type="dxa"/>
            <w:vAlign w:val="center"/>
          </w:tcPr>
          <w:p>
            <w:pPr>
              <w:spacing w:line="240" w:lineRule="exact"/>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continue"/>
            <w:vAlign w:val="center"/>
          </w:tcPr>
          <w:p>
            <w:pPr>
              <w:jc w:val="center"/>
              <w:rPr>
                <w:rStyle w:val="8"/>
                <w:rFonts w:hint="eastAsia" w:ascii="Times New Roman" w:hAnsi="Times New Roman" w:eastAsiaTheme="minorEastAsia" w:cstheme="minorBidi"/>
                <w:sz w:val="18"/>
                <w:szCs w:val="18"/>
              </w:rPr>
            </w:pP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restart"/>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4</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10023533</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概率论与数理统计A</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64</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64</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考试</w:t>
            </w:r>
          </w:p>
        </w:tc>
        <w:tc>
          <w:tcPr>
            <w:tcW w:w="1262" w:type="dxa"/>
            <w:vMerge w:val="continue"/>
            <w:vAlign w:val="center"/>
          </w:tcPr>
          <w:p>
            <w:pPr>
              <w:jc w:val="center"/>
              <w:rPr>
                <w:rStyle w:val="8"/>
                <w:rFonts w:ascii="Times New Roman" w:hAnsi="Times New Roman" w:eastAsiaTheme="minorEastAsia" w:cstheme="minorBidi"/>
                <w:sz w:val="18"/>
                <w:szCs w:val="18"/>
              </w:rPr>
            </w:pP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continue"/>
            <w:vAlign w:val="center"/>
          </w:tcPr>
          <w:p>
            <w:pPr>
              <w:spacing w:line="240" w:lineRule="exact"/>
              <w:ind w:left="42" w:leftChars="20"/>
              <w:jc w:val="center"/>
              <w:rPr>
                <w:rStyle w:val="8"/>
                <w:rFonts w:ascii="Times New Roman" w:hAnsi="Times New Roman" w:eastAsiaTheme="minorEastAsia" w:cstheme="minorBidi"/>
                <w:sz w:val="18"/>
                <w:szCs w:val="18"/>
              </w:rPr>
            </w:pP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10023523</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概率论与数理统计B</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考试</w:t>
            </w:r>
          </w:p>
        </w:tc>
        <w:tc>
          <w:tcPr>
            <w:tcW w:w="1262" w:type="dxa"/>
            <w:vMerge w:val="continue"/>
            <w:vAlign w:val="center"/>
          </w:tcPr>
          <w:p>
            <w:pPr>
              <w:jc w:val="center"/>
              <w:rPr>
                <w:rStyle w:val="8"/>
                <w:rFonts w:ascii="Times New Roman" w:hAnsi="Times New Roman" w:eastAsiaTheme="minorEastAsia" w:cstheme="minorBidi"/>
                <w:sz w:val="18"/>
                <w:szCs w:val="18"/>
              </w:rPr>
            </w:pP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887" w:type="dxa"/>
            <w:gridSpan w:val="13"/>
            <w:vAlign w:val="center"/>
          </w:tcPr>
          <w:p>
            <w:pPr>
              <w:ind w:firstLine="904" w:firstLineChars="500"/>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b/>
                <w:bCs/>
                <w:sz w:val="18"/>
                <w:szCs w:val="18"/>
              </w:rPr>
              <w:t>课程涉及到A、B的，可根据专业对数学知识的需求，遴选其一。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5</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10023551</w:t>
            </w:r>
          </w:p>
        </w:tc>
        <w:tc>
          <w:tcPr>
            <w:tcW w:w="1922" w:type="dxa"/>
            <w:vAlign w:val="center"/>
          </w:tcPr>
          <w:p>
            <w:pPr>
              <w:spacing w:line="240" w:lineRule="exact"/>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高等数学Ⅰ（上）</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restart"/>
            <w:vAlign w:val="center"/>
          </w:tcPr>
          <w:p>
            <w:pPr>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公共基础必修课</w:t>
            </w:r>
          </w:p>
        </w:tc>
        <w:tc>
          <w:tcPr>
            <w:tcW w:w="842" w:type="dxa"/>
            <w:vMerge w:val="restart"/>
          </w:tcPr>
          <w:p>
            <w:pPr>
              <w:spacing w:line="240" w:lineRule="exact"/>
              <w:ind w:left="42" w:leftChars="20"/>
              <w:jc w:val="center"/>
              <w:rPr>
                <w:rStyle w:val="8"/>
                <w:rFonts w:hint="eastAsia" w:ascii="Times New Roman" w:hAnsi="Times New Roman" w:eastAsiaTheme="minorEastAsia" w:cstheme="minorBidi"/>
                <w:sz w:val="18"/>
                <w:szCs w:val="18"/>
              </w:rPr>
            </w:pPr>
          </w:p>
          <w:p>
            <w:pPr>
              <w:spacing w:line="240" w:lineRule="exact"/>
              <w:ind w:left="42" w:leftChars="20"/>
              <w:jc w:val="center"/>
              <w:rPr>
                <w:rStyle w:val="8"/>
                <w:rFonts w:hint="eastAsia" w:ascii="Times New Roman" w:hAnsi="Times New Roman" w:eastAsiaTheme="minorEastAsia" w:cstheme="minorBidi"/>
                <w:sz w:val="18"/>
                <w:szCs w:val="18"/>
              </w:rPr>
            </w:pPr>
          </w:p>
          <w:p>
            <w:pPr>
              <w:spacing w:line="240" w:lineRule="exact"/>
              <w:ind w:left="42" w:leftChars="20"/>
              <w:jc w:val="center"/>
              <w:rPr>
                <w:rStyle w:val="8"/>
                <w:rFonts w:hint="eastAsia" w:ascii="Times New Roman" w:hAnsi="Times New Roman" w:eastAsiaTheme="minorEastAsia" w:cstheme="minorBidi"/>
                <w:sz w:val="18"/>
                <w:szCs w:val="18"/>
              </w:rPr>
            </w:pPr>
          </w:p>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理</w:t>
            </w:r>
          </w:p>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工</w:t>
            </w:r>
          </w:p>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类</w:t>
            </w:r>
          </w:p>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专</w:t>
            </w:r>
          </w:p>
          <w:p>
            <w:pPr>
              <w:spacing w:line="240" w:lineRule="exact"/>
              <w:ind w:left="42" w:leftChars="20"/>
              <w:jc w:val="center"/>
              <w:rPr>
                <w:rStyle w:val="8"/>
                <w:rFonts w:hint="eastAsia" w:ascii="Times New Roman" w:hAnsi="Times New Roman" w:eastAsiaTheme="minorEastAsia" w:cstheme="minorBidi"/>
              </w:rPr>
            </w:pPr>
            <w:r>
              <w:rPr>
                <w:rStyle w:val="8"/>
                <w:rFonts w:hint="eastAsia" w:ascii="Times New Roman" w:hAnsi="Times New Roman" w:eastAsiaTheme="minorEastAsia" w:cstheme="minorBidi"/>
                <w:sz w:val="18"/>
                <w:szCs w:val="18"/>
              </w:rPr>
              <w:t>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6</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10023561</w:t>
            </w:r>
          </w:p>
        </w:tc>
        <w:tc>
          <w:tcPr>
            <w:tcW w:w="1922" w:type="dxa"/>
            <w:vAlign w:val="center"/>
          </w:tcPr>
          <w:p>
            <w:pPr>
              <w:spacing w:line="240" w:lineRule="exact"/>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高等数学Ⅰ（下）</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64</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4</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64</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2</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continue"/>
            <w:vAlign w:val="center"/>
          </w:tcPr>
          <w:p>
            <w:pPr>
              <w:jc w:val="center"/>
              <w:rPr>
                <w:rStyle w:val="8"/>
                <w:rFonts w:hint="eastAsia" w:ascii="Times New Roman" w:hAnsi="Times New Roman" w:eastAsiaTheme="minorEastAsia" w:cstheme="minorBidi"/>
                <w:sz w:val="18"/>
                <w:szCs w:val="18"/>
              </w:rPr>
            </w:pP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445" w:type="dxa"/>
            <w:vMerge w:val="restart"/>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7</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10023793</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线性代数A</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restart"/>
            <w:vAlign w:val="center"/>
          </w:tcPr>
          <w:p>
            <w:pPr>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学科</w:t>
            </w:r>
            <w:r>
              <w:rPr>
                <w:rStyle w:val="8"/>
                <w:rFonts w:hint="eastAsia" w:ascii="Times New Roman" w:hAnsi="Times New Roman" w:eastAsiaTheme="minorEastAsia" w:cstheme="minorBidi"/>
                <w:sz w:val="18"/>
                <w:szCs w:val="18"/>
                <w:lang w:eastAsia="zh-CN"/>
              </w:rPr>
              <w:t>（专业）</w:t>
            </w:r>
            <w:r>
              <w:rPr>
                <w:rStyle w:val="8"/>
                <w:rFonts w:hint="eastAsia" w:ascii="Times New Roman" w:hAnsi="Times New Roman" w:eastAsiaTheme="minorEastAsia" w:cstheme="minorBidi"/>
                <w:sz w:val="18"/>
                <w:szCs w:val="18"/>
              </w:rPr>
              <w:t>基础课</w:t>
            </w: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445" w:type="dxa"/>
            <w:vMerge w:val="continue"/>
            <w:vAlign w:val="center"/>
          </w:tcPr>
          <w:p>
            <w:pPr>
              <w:spacing w:line="240" w:lineRule="exact"/>
              <w:ind w:left="42" w:leftChars="20"/>
              <w:jc w:val="center"/>
              <w:rPr>
                <w:rStyle w:val="8"/>
                <w:rFonts w:ascii="Times New Roman" w:hAnsi="Times New Roman" w:eastAsiaTheme="minorEastAsia" w:cstheme="minorBidi"/>
                <w:sz w:val="18"/>
                <w:szCs w:val="18"/>
              </w:rPr>
            </w:pP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10023783</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线性代数B</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32</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2</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32</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continue"/>
            <w:vAlign w:val="center"/>
          </w:tcPr>
          <w:p>
            <w:pPr>
              <w:jc w:val="center"/>
              <w:rPr>
                <w:rStyle w:val="8"/>
                <w:rFonts w:hint="eastAsia" w:ascii="Times New Roman" w:hAnsi="Times New Roman" w:eastAsiaTheme="minorEastAsia" w:cstheme="minorBidi"/>
                <w:sz w:val="18"/>
                <w:szCs w:val="18"/>
              </w:rPr>
            </w:pP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restart"/>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8</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10023533</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概率论与数理统计A</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64</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64</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continue"/>
            <w:vAlign w:val="center"/>
          </w:tcPr>
          <w:p>
            <w:pPr>
              <w:jc w:val="center"/>
              <w:rPr>
                <w:rStyle w:val="8"/>
                <w:rFonts w:ascii="Times New Roman" w:hAnsi="Times New Roman" w:eastAsiaTheme="minorEastAsia" w:cstheme="minorBidi"/>
                <w:sz w:val="18"/>
                <w:szCs w:val="18"/>
              </w:rPr>
            </w:pP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Merge w:val="continue"/>
            <w:vAlign w:val="center"/>
          </w:tcPr>
          <w:p>
            <w:pPr>
              <w:spacing w:line="240" w:lineRule="exact"/>
              <w:ind w:left="42" w:leftChars="20"/>
              <w:jc w:val="center"/>
              <w:rPr>
                <w:rStyle w:val="8"/>
                <w:rFonts w:ascii="Times New Roman" w:hAnsi="Times New Roman" w:eastAsiaTheme="minorEastAsia" w:cstheme="minorBidi"/>
                <w:sz w:val="18"/>
                <w:szCs w:val="18"/>
              </w:rPr>
            </w:pP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10023523</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概率论与数理统计B</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continue"/>
            <w:vAlign w:val="center"/>
          </w:tcPr>
          <w:p>
            <w:pPr>
              <w:jc w:val="center"/>
              <w:rPr>
                <w:rStyle w:val="8"/>
                <w:rFonts w:ascii="Times New Roman" w:hAnsi="Times New Roman" w:eastAsiaTheme="minorEastAsia" w:cstheme="minorBidi"/>
                <w:sz w:val="18"/>
                <w:szCs w:val="18"/>
              </w:rPr>
            </w:pP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887" w:type="dxa"/>
            <w:gridSpan w:val="13"/>
            <w:vAlign w:val="center"/>
          </w:tcPr>
          <w:p>
            <w:pPr>
              <w:ind w:firstLine="723" w:firstLineChars="400"/>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b/>
                <w:bCs/>
                <w:sz w:val="18"/>
                <w:szCs w:val="18"/>
              </w:rPr>
              <w:t>课程涉及到A、B的，可根据专业对数学知识的需求，遴选其一。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4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9</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10023571</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高等数学Ⅱ</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64</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64</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2或4</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Align w:val="center"/>
          </w:tcPr>
          <w:p>
            <w:pPr>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公共基础必修课</w:t>
            </w:r>
          </w:p>
        </w:tc>
        <w:tc>
          <w:tcPr>
            <w:tcW w:w="842" w:type="dxa"/>
            <w:vAlign w:val="center"/>
          </w:tcPr>
          <w:p>
            <w:pPr>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文学</w:t>
            </w:r>
            <w:r>
              <w:rPr>
                <w:rStyle w:val="8"/>
                <w:rFonts w:hint="eastAsia" w:ascii="Times New Roman" w:hAnsi="Times New Roman" w:eastAsiaTheme="minorEastAsia" w:cstheme="minorBidi"/>
                <w:sz w:val="18"/>
                <w:szCs w:val="18"/>
                <w:lang w:val="en-US" w:eastAsia="zh-CN"/>
              </w:rPr>
              <w:t>类</w:t>
            </w:r>
          </w:p>
          <w:p>
            <w:pPr>
              <w:jc w:val="center"/>
              <w:rPr>
                <w:rStyle w:val="8"/>
                <w:rFonts w:hint="eastAsia" w:ascii="Times New Roman" w:hAnsi="Times New Roman" w:eastAsiaTheme="minorEastAsia" w:cstheme="minorBidi"/>
                <w:sz w:val="18"/>
                <w:szCs w:val="18"/>
                <w:lang w:eastAsia="zh-CN"/>
              </w:rPr>
            </w:pPr>
            <w:r>
              <w:rPr>
                <w:rStyle w:val="8"/>
                <w:rFonts w:hint="eastAsia" w:ascii="Times New Roman" w:hAnsi="Times New Roman" w:eastAsiaTheme="minorEastAsia" w:cstheme="minorBidi"/>
                <w:sz w:val="18"/>
                <w:szCs w:val="18"/>
              </w:rPr>
              <w:t>法学类</w:t>
            </w:r>
            <w:r>
              <w:rPr>
                <w:rStyle w:val="8"/>
                <w:rFonts w:hint="eastAsia" w:ascii="Times New Roman" w:hAnsi="Times New Roman" w:eastAsiaTheme="minorEastAsia" w:cstheme="minorBidi"/>
                <w:sz w:val="18"/>
                <w:szCs w:val="18"/>
                <w:lang w:eastAsia="zh-CN"/>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887" w:type="dxa"/>
            <w:gridSpan w:val="13"/>
            <w:vAlign w:val="center"/>
          </w:tcPr>
          <w:p>
            <w:pPr>
              <w:ind w:firstLine="723" w:firstLineChars="400"/>
              <w:rPr>
                <w:rStyle w:val="8"/>
                <w:rFonts w:hint="eastAsia" w:ascii="Times New Roman" w:hAnsi="Times New Roman" w:eastAsiaTheme="minorEastAsia" w:cstheme="minorBidi"/>
                <w:sz w:val="18"/>
                <w:szCs w:val="18"/>
                <w:lang w:eastAsia="zh-CN"/>
              </w:rPr>
            </w:pPr>
            <w:r>
              <w:rPr>
                <w:rStyle w:val="8"/>
                <w:rFonts w:hint="eastAsia" w:ascii="Times New Roman" w:hAnsi="Times New Roman" w:eastAsiaTheme="minorEastAsia" w:cstheme="minorBidi"/>
                <w:b/>
                <w:bCs/>
                <w:sz w:val="18"/>
                <w:szCs w:val="18"/>
              </w:rPr>
              <w:t>专升本文学类、法学类专业开设高等数学Ⅱ，开课学期为第2学期</w:t>
            </w:r>
            <w:r>
              <w:rPr>
                <w:rStyle w:val="8"/>
                <w:rFonts w:hint="eastAsia" w:ascii="Times New Roman" w:hAnsi="Times New Roman" w:eastAsiaTheme="minorEastAsia" w:cstheme="minorBidi"/>
                <w:b/>
                <w:bCs/>
                <w:sz w:val="18"/>
                <w:szCs w:val="1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44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10</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10030071</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数学分析（上）</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80</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5</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80</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w:t>
            </w:r>
          </w:p>
        </w:tc>
        <w:tc>
          <w:tcPr>
            <w:tcW w:w="695" w:type="dxa"/>
            <w:vAlign w:val="center"/>
          </w:tcPr>
          <w:p>
            <w:pPr>
              <w:spacing w:line="240" w:lineRule="exact"/>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restart"/>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公共基础必修课</w:t>
            </w:r>
          </w:p>
        </w:tc>
        <w:tc>
          <w:tcPr>
            <w:tcW w:w="842" w:type="dxa"/>
            <w:vMerge w:val="restart"/>
          </w:tcPr>
          <w:p>
            <w:pPr>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厚</w:t>
            </w:r>
          </w:p>
          <w:p>
            <w:pPr>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生</w:t>
            </w:r>
          </w:p>
          <w:p>
            <w:pPr>
              <w:jc w:val="center"/>
              <w:rPr>
                <w:rStyle w:val="8"/>
                <w:rFonts w:hint="eastAsia" w:ascii="Times New Roman" w:hAnsi="Times New Roman" w:eastAsiaTheme="minorEastAsia" w:cstheme="minorBidi"/>
                <w:sz w:val="18"/>
                <w:szCs w:val="18"/>
                <w:lang w:eastAsia="zh-CN"/>
              </w:rPr>
            </w:pPr>
            <w:r>
              <w:rPr>
                <w:rStyle w:val="8"/>
                <w:rFonts w:hint="eastAsia" w:eastAsiaTheme="minorEastAsia" w:cstheme="minorBidi"/>
                <w:sz w:val="18"/>
                <w:szCs w:val="18"/>
                <w:lang w:eastAsia="zh-CN"/>
              </w:rPr>
              <w:t>实</w:t>
            </w:r>
          </w:p>
          <w:p>
            <w:pPr>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验</w:t>
            </w:r>
          </w:p>
          <w:p>
            <w:pPr>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11</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10030081</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数学分析（下）</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96</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6</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96</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2</w:t>
            </w:r>
          </w:p>
        </w:tc>
        <w:tc>
          <w:tcPr>
            <w:tcW w:w="695" w:type="dxa"/>
            <w:vAlign w:val="center"/>
          </w:tcPr>
          <w:p>
            <w:pPr>
              <w:spacing w:line="240" w:lineRule="exact"/>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continue"/>
            <w:vAlign w:val="center"/>
          </w:tcPr>
          <w:p>
            <w:pPr>
              <w:jc w:val="center"/>
              <w:rPr>
                <w:rStyle w:val="8"/>
                <w:rFonts w:hint="eastAsia" w:ascii="Times New Roman" w:hAnsi="Times New Roman" w:eastAsiaTheme="minorEastAsia" w:cstheme="minorBidi"/>
                <w:sz w:val="18"/>
                <w:szCs w:val="18"/>
              </w:rPr>
            </w:pP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12</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10023793</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线性代数A</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48</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w:t>
            </w:r>
          </w:p>
        </w:tc>
        <w:tc>
          <w:tcPr>
            <w:tcW w:w="695" w:type="dxa"/>
            <w:vAlign w:val="center"/>
          </w:tcPr>
          <w:p>
            <w:pPr>
              <w:spacing w:line="240" w:lineRule="exact"/>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Merge w:val="restart"/>
            <w:vAlign w:val="center"/>
          </w:tcPr>
          <w:p>
            <w:pPr>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学科</w:t>
            </w:r>
            <w:r>
              <w:rPr>
                <w:rStyle w:val="8"/>
                <w:rFonts w:hint="eastAsia" w:ascii="Times New Roman" w:hAnsi="Times New Roman" w:eastAsiaTheme="minorEastAsia" w:cstheme="minorBidi"/>
                <w:sz w:val="18"/>
                <w:szCs w:val="18"/>
                <w:lang w:eastAsia="zh-CN"/>
              </w:rPr>
              <w:t>（专业）</w:t>
            </w:r>
            <w:r>
              <w:rPr>
                <w:rStyle w:val="8"/>
                <w:rFonts w:hint="eastAsia" w:ascii="Times New Roman" w:hAnsi="Times New Roman" w:eastAsiaTheme="minorEastAsia" w:cstheme="minorBidi"/>
                <w:sz w:val="18"/>
                <w:szCs w:val="18"/>
              </w:rPr>
              <w:t>基础课</w:t>
            </w: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13</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10023533</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概率论与数理统计A</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64</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4</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64</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4</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考试</w:t>
            </w:r>
          </w:p>
        </w:tc>
        <w:tc>
          <w:tcPr>
            <w:tcW w:w="1262" w:type="dxa"/>
            <w:vMerge w:val="continue"/>
            <w:vAlign w:val="center"/>
          </w:tcPr>
          <w:p>
            <w:pPr>
              <w:jc w:val="center"/>
              <w:rPr>
                <w:rStyle w:val="8"/>
                <w:rFonts w:hint="eastAsia" w:ascii="Times New Roman" w:hAnsi="Times New Roman" w:eastAsiaTheme="minorEastAsia" w:cstheme="minorBidi"/>
                <w:sz w:val="18"/>
                <w:szCs w:val="18"/>
              </w:rPr>
            </w:pP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44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14</w:t>
            </w:r>
          </w:p>
        </w:tc>
        <w:tc>
          <w:tcPr>
            <w:tcW w:w="1036" w:type="dxa"/>
            <w:vAlign w:val="center"/>
          </w:tcPr>
          <w:p>
            <w:pPr>
              <w:spacing w:line="240" w:lineRule="exact"/>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1001005</w:t>
            </w:r>
            <w:r>
              <w:rPr>
                <w:rStyle w:val="8"/>
                <w:rFonts w:hint="eastAsia" w:ascii="Times New Roman" w:hAnsi="Times New Roman" w:eastAsiaTheme="minorEastAsia" w:cstheme="minorBidi"/>
                <w:sz w:val="18"/>
                <w:szCs w:val="18"/>
              </w:rPr>
              <w:t>X</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常微分方程</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32</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2</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32</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4</w:t>
            </w:r>
          </w:p>
        </w:tc>
        <w:tc>
          <w:tcPr>
            <w:tcW w:w="695" w:type="dxa"/>
            <w:vAlign w:val="center"/>
          </w:tcPr>
          <w:p>
            <w:pPr>
              <w:spacing w:line="240" w:lineRule="exact"/>
              <w:ind w:left="42" w:leftChars="20"/>
              <w:jc w:val="center"/>
              <w:rPr>
                <w:rStyle w:val="8"/>
                <w:rFonts w:ascii="Times New Roman" w:hAnsi="Times New Roman" w:eastAsiaTheme="minorEastAsia" w:cstheme="minorBidi"/>
              </w:rPr>
            </w:pPr>
            <w:r>
              <w:rPr>
                <w:rStyle w:val="8"/>
                <w:rFonts w:ascii="Times New Roman" w:hAnsi="Times New Roman" w:eastAsiaTheme="minorEastAsia" w:cstheme="minorBidi"/>
                <w:sz w:val="18"/>
                <w:szCs w:val="18"/>
              </w:rPr>
              <w:t>考试</w:t>
            </w:r>
          </w:p>
        </w:tc>
        <w:tc>
          <w:tcPr>
            <w:tcW w:w="1262" w:type="dxa"/>
            <w:vMerge w:val="continue"/>
            <w:vAlign w:val="center"/>
          </w:tcPr>
          <w:p>
            <w:pPr>
              <w:jc w:val="center"/>
              <w:rPr>
                <w:rStyle w:val="8"/>
                <w:rFonts w:hint="eastAsia" w:ascii="Times New Roman" w:hAnsi="Times New Roman" w:eastAsiaTheme="minorEastAsia" w:cstheme="minorBidi"/>
                <w:sz w:val="18"/>
                <w:szCs w:val="18"/>
              </w:rPr>
            </w:pPr>
          </w:p>
        </w:tc>
        <w:tc>
          <w:tcPr>
            <w:tcW w:w="842" w:type="dxa"/>
            <w:vMerge w:val="continue"/>
          </w:tcPr>
          <w:p>
            <w:pPr>
              <w:rPr>
                <w:rStyle w:val="8"/>
                <w:rFonts w:hint="eastAsia" w:ascii="Times New Roman" w:hAnsi="Times New Roman" w:eastAsiaTheme="minorEastAsia"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887" w:type="dxa"/>
            <w:gridSpan w:val="13"/>
            <w:vAlign w:val="center"/>
          </w:tcPr>
          <w:p>
            <w:pPr>
              <w:ind w:firstLine="542" w:firstLineChars="300"/>
              <w:rPr>
                <w:rStyle w:val="8"/>
                <w:rFonts w:hint="eastAsia" w:ascii="Times New Roman" w:hAnsi="Times New Roman" w:eastAsiaTheme="minorEastAsia" w:cstheme="minorBidi"/>
                <w:sz w:val="18"/>
                <w:szCs w:val="18"/>
                <w:lang w:eastAsia="zh-CN"/>
              </w:rPr>
            </w:pPr>
            <w:r>
              <w:rPr>
                <w:rStyle w:val="8"/>
                <w:rFonts w:hint="eastAsia" w:ascii="Times New Roman" w:hAnsi="Times New Roman" w:eastAsiaTheme="minorEastAsia" w:cstheme="minorBidi"/>
                <w:b/>
                <w:bCs/>
                <w:sz w:val="18"/>
                <w:szCs w:val="18"/>
                <w:lang w:eastAsia="zh-CN"/>
              </w:rPr>
              <w:t>财务管理、财政学、国际经济与贸易、数据科学与大数据技术四个专业设置厚生实验班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4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15</w:t>
            </w:r>
          </w:p>
        </w:tc>
        <w:tc>
          <w:tcPr>
            <w:tcW w:w="1036"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10010011</w:t>
            </w:r>
          </w:p>
        </w:tc>
        <w:tc>
          <w:tcPr>
            <w:tcW w:w="1922"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大学数学（一）</w:t>
            </w:r>
          </w:p>
        </w:tc>
        <w:tc>
          <w:tcPr>
            <w:tcW w:w="709"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48</w:t>
            </w:r>
          </w:p>
        </w:tc>
        <w:tc>
          <w:tcPr>
            <w:tcW w:w="42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3</w:t>
            </w:r>
          </w:p>
        </w:tc>
        <w:tc>
          <w:tcPr>
            <w:tcW w:w="613"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48</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1</w:t>
            </w:r>
          </w:p>
        </w:tc>
        <w:tc>
          <w:tcPr>
            <w:tcW w:w="69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ascii="Times New Roman" w:hAnsi="Times New Roman" w:eastAsiaTheme="minorEastAsia" w:cstheme="minorBidi"/>
                <w:sz w:val="18"/>
                <w:szCs w:val="18"/>
              </w:rPr>
              <w:t>考试</w:t>
            </w:r>
          </w:p>
        </w:tc>
        <w:tc>
          <w:tcPr>
            <w:tcW w:w="1262" w:type="dxa"/>
            <w:vAlign w:val="center"/>
          </w:tcPr>
          <w:p>
            <w:pPr>
              <w:spacing w:line="240" w:lineRule="exact"/>
              <w:ind w:left="42" w:leftChars="20"/>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公共基础必修课</w:t>
            </w:r>
          </w:p>
        </w:tc>
        <w:tc>
          <w:tcPr>
            <w:tcW w:w="842" w:type="dxa"/>
            <w:vMerge w:val="restart"/>
          </w:tcPr>
          <w:p>
            <w:pP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专升本（理工类、经管类）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5" w:type="dxa"/>
            <w:vAlign w:val="center"/>
          </w:tcPr>
          <w:p>
            <w:pPr>
              <w:spacing w:line="240" w:lineRule="exact"/>
              <w:ind w:left="42" w:leftChars="20"/>
              <w:jc w:val="center"/>
              <w:rPr>
                <w:rStyle w:val="8"/>
                <w:rFonts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16</w:t>
            </w:r>
          </w:p>
        </w:tc>
        <w:tc>
          <w:tcPr>
            <w:tcW w:w="1036" w:type="dxa"/>
            <w:vAlign w:val="center"/>
          </w:tcPr>
          <w:p>
            <w:pPr>
              <w:spacing w:line="240" w:lineRule="exact"/>
              <w:ind w:left="42" w:leftChars="20"/>
              <w:jc w:val="center"/>
              <w:rPr>
                <w:rStyle w:val="8"/>
                <w:rFonts w:ascii="宋体" w:hAnsi="宋体" w:eastAsia="宋体" w:cstheme="minorBidi"/>
                <w:sz w:val="18"/>
                <w:szCs w:val="18"/>
              </w:rPr>
            </w:pPr>
            <w:r>
              <w:rPr>
                <w:rStyle w:val="8"/>
                <w:rFonts w:hint="eastAsia" w:ascii="宋体" w:hAnsi="宋体" w:eastAsiaTheme="minorEastAsia" w:cstheme="minorBidi"/>
                <w:kern w:val="0"/>
                <w:sz w:val="18"/>
                <w:szCs w:val="18"/>
              </w:rPr>
              <w:t>10010021</w:t>
            </w:r>
          </w:p>
        </w:tc>
        <w:tc>
          <w:tcPr>
            <w:tcW w:w="1922" w:type="dxa"/>
            <w:vAlign w:val="center"/>
          </w:tcPr>
          <w:p>
            <w:pPr>
              <w:spacing w:line="240" w:lineRule="exact"/>
              <w:ind w:left="42" w:leftChars="20"/>
              <w:jc w:val="center"/>
              <w:rPr>
                <w:rStyle w:val="8"/>
                <w:rFonts w:ascii="Times New Roman" w:hAnsi="宋体" w:eastAsia="宋体" w:cstheme="minorBidi"/>
                <w:sz w:val="18"/>
                <w:szCs w:val="18"/>
              </w:rPr>
            </w:pPr>
            <w:r>
              <w:rPr>
                <w:rStyle w:val="8"/>
                <w:rFonts w:ascii="宋体" w:hAnsi="宋体" w:eastAsiaTheme="minorEastAsia" w:cstheme="minorBidi"/>
                <w:sz w:val="18"/>
                <w:szCs w:val="18"/>
              </w:rPr>
              <w:t>大学数学（二）</w:t>
            </w:r>
          </w:p>
        </w:tc>
        <w:tc>
          <w:tcPr>
            <w:tcW w:w="709" w:type="dxa"/>
            <w:vAlign w:val="center"/>
          </w:tcPr>
          <w:p>
            <w:pPr>
              <w:spacing w:line="240" w:lineRule="exact"/>
              <w:ind w:left="42" w:leftChars="20"/>
              <w:jc w:val="center"/>
              <w:rPr>
                <w:rStyle w:val="8"/>
                <w:rFonts w:ascii="Times New Roman" w:hAnsi="宋体" w:eastAsia="宋体" w:cstheme="minorBidi"/>
                <w:sz w:val="18"/>
                <w:szCs w:val="18"/>
              </w:rPr>
            </w:pPr>
            <w:r>
              <w:rPr>
                <w:rStyle w:val="8"/>
                <w:rFonts w:hint="eastAsia" w:ascii="Times New Roman" w:hAnsi="Times New Roman" w:eastAsiaTheme="minorEastAsia" w:cstheme="minorBidi"/>
                <w:sz w:val="18"/>
                <w:szCs w:val="18"/>
              </w:rPr>
              <w:t>64</w:t>
            </w:r>
          </w:p>
        </w:tc>
        <w:tc>
          <w:tcPr>
            <w:tcW w:w="425" w:type="dxa"/>
            <w:vAlign w:val="center"/>
          </w:tcPr>
          <w:p>
            <w:pPr>
              <w:spacing w:line="240" w:lineRule="exact"/>
              <w:ind w:left="42" w:leftChars="20"/>
              <w:jc w:val="center"/>
              <w:rPr>
                <w:rStyle w:val="8"/>
                <w:rFonts w:ascii="Times New Roman" w:hAnsi="宋体" w:eastAsia="宋体" w:cstheme="minorBidi"/>
                <w:sz w:val="18"/>
                <w:szCs w:val="18"/>
              </w:rPr>
            </w:pPr>
            <w:r>
              <w:rPr>
                <w:rStyle w:val="8"/>
                <w:rFonts w:hint="eastAsia" w:ascii="Times New Roman" w:hAnsi="Times New Roman" w:eastAsiaTheme="minorEastAsia" w:cstheme="minorBidi"/>
                <w:sz w:val="18"/>
                <w:szCs w:val="18"/>
              </w:rPr>
              <w:t>4</w:t>
            </w:r>
          </w:p>
        </w:tc>
        <w:tc>
          <w:tcPr>
            <w:tcW w:w="613" w:type="dxa"/>
            <w:vAlign w:val="center"/>
          </w:tcPr>
          <w:p>
            <w:pPr>
              <w:spacing w:line="240" w:lineRule="exact"/>
              <w:ind w:left="42" w:leftChars="20"/>
              <w:jc w:val="center"/>
              <w:rPr>
                <w:rStyle w:val="8"/>
                <w:rFonts w:ascii="Times New Roman" w:hAnsi="宋体" w:eastAsia="宋体" w:cstheme="minorBidi"/>
                <w:sz w:val="18"/>
                <w:szCs w:val="18"/>
              </w:rPr>
            </w:pPr>
            <w:r>
              <w:rPr>
                <w:rStyle w:val="8"/>
                <w:rFonts w:hint="eastAsia" w:ascii="Times New Roman" w:hAnsi="Times New Roman" w:eastAsiaTheme="minorEastAsia" w:cstheme="minorBidi"/>
                <w:sz w:val="18"/>
                <w:szCs w:val="18"/>
              </w:rPr>
              <w:t>64</w:t>
            </w:r>
          </w:p>
        </w:tc>
        <w:tc>
          <w:tcPr>
            <w:tcW w:w="521"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425" w:type="dxa"/>
            <w:vAlign w:val="center"/>
          </w:tcPr>
          <w:p>
            <w:pPr>
              <w:jc w:val="center"/>
              <w:rPr>
                <w:rStyle w:val="8"/>
                <w:rFonts w:hint="eastAsia" w:ascii="Times New Roman" w:hAnsi="Times New Roman" w:eastAsiaTheme="minorEastAsia" w:cstheme="minorBidi"/>
                <w:sz w:val="18"/>
                <w:szCs w:val="18"/>
              </w:rPr>
            </w:pPr>
          </w:p>
        </w:tc>
        <w:tc>
          <w:tcPr>
            <w:tcW w:w="567" w:type="dxa"/>
            <w:vAlign w:val="center"/>
          </w:tcPr>
          <w:p>
            <w:pPr>
              <w:spacing w:line="240" w:lineRule="exact"/>
              <w:ind w:left="42" w:leftChars="20"/>
              <w:jc w:val="center"/>
              <w:rPr>
                <w:rStyle w:val="8"/>
                <w:rFonts w:ascii="Times New Roman" w:hAnsi="宋体" w:eastAsia="宋体" w:cstheme="minorBidi"/>
                <w:sz w:val="18"/>
                <w:szCs w:val="18"/>
              </w:rPr>
            </w:pPr>
            <w:r>
              <w:rPr>
                <w:rStyle w:val="8"/>
                <w:rFonts w:ascii="Times New Roman" w:hAnsi="宋体" w:eastAsiaTheme="minorEastAsia" w:cstheme="minorBidi"/>
                <w:sz w:val="18"/>
                <w:szCs w:val="18"/>
              </w:rPr>
              <w:t>2</w:t>
            </w:r>
          </w:p>
        </w:tc>
        <w:tc>
          <w:tcPr>
            <w:tcW w:w="695" w:type="dxa"/>
            <w:vAlign w:val="center"/>
          </w:tcPr>
          <w:p>
            <w:pPr>
              <w:spacing w:line="240" w:lineRule="exact"/>
              <w:ind w:left="42" w:leftChars="20"/>
              <w:jc w:val="center"/>
              <w:rPr>
                <w:rStyle w:val="8"/>
                <w:rFonts w:ascii="Times New Roman" w:hAnsi="宋体" w:eastAsia="宋体" w:cstheme="minorBidi"/>
                <w:sz w:val="18"/>
                <w:szCs w:val="18"/>
              </w:rPr>
            </w:pPr>
            <w:r>
              <w:rPr>
                <w:rStyle w:val="8"/>
                <w:rFonts w:ascii="宋体" w:hAnsi="宋体" w:eastAsiaTheme="minorEastAsia" w:cstheme="minorBidi"/>
                <w:sz w:val="18"/>
                <w:szCs w:val="18"/>
              </w:rPr>
              <w:t>考试</w:t>
            </w:r>
          </w:p>
        </w:tc>
        <w:tc>
          <w:tcPr>
            <w:tcW w:w="1262" w:type="dxa"/>
            <w:vAlign w:val="center"/>
          </w:tcPr>
          <w:p>
            <w:pPr>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公共基础</w:t>
            </w:r>
          </w:p>
          <w:p>
            <w:pPr>
              <w:jc w:val="center"/>
              <w:rPr>
                <w:rStyle w:val="8"/>
                <w:rFonts w:hint="eastAsia" w:ascii="Times New Roman" w:hAnsi="Times New Roman" w:eastAsiaTheme="minorEastAsia" w:cstheme="minorBidi"/>
                <w:sz w:val="18"/>
                <w:szCs w:val="18"/>
              </w:rPr>
            </w:pPr>
            <w:r>
              <w:rPr>
                <w:rStyle w:val="8"/>
                <w:rFonts w:hint="eastAsia" w:ascii="Times New Roman" w:hAnsi="Times New Roman" w:eastAsiaTheme="minorEastAsia" w:cstheme="minorBidi"/>
                <w:sz w:val="18"/>
                <w:szCs w:val="18"/>
              </w:rPr>
              <w:t>必修课</w:t>
            </w:r>
          </w:p>
        </w:tc>
        <w:tc>
          <w:tcPr>
            <w:tcW w:w="842" w:type="dxa"/>
            <w:vMerge w:val="continue"/>
          </w:tcPr>
          <w:p>
            <w:pPr>
              <w:rPr>
                <w:rFonts w:hint="eastAsia" w:asciiTheme="minorHAnsi" w:hAnsiTheme="minorHAnsi" w:eastAsiaTheme="minorEastAsia" w:cstheme="minorBidi"/>
              </w:rPr>
            </w:pPr>
          </w:p>
        </w:tc>
      </w:tr>
    </w:tbl>
    <w:p>
      <w:pPr>
        <w:jc w:val="both"/>
        <w:rPr>
          <w:rFonts w:hint="eastAsia" w:asciiTheme="minorHAnsi" w:hAnsiTheme="minorHAnsi" w:eastAsiaTheme="minorEastAsia" w:cstheme="minorBidi"/>
          <w:b/>
          <w:bCs/>
          <w:sz w:val="28"/>
          <w:szCs w:val="28"/>
          <w:lang w:val="en-US" w:eastAsia="zh-CN"/>
        </w:rPr>
      </w:pPr>
    </w:p>
    <w:p>
      <w:pPr>
        <w:jc w:val="both"/>
        <w:rPr>
          <w:rFonts w:hint="eastAsia" w:asciiTheme="minorHAnsi" w:hAnsiTheme="minorHAnsi" w:eastAsiaTheme="minorEastAsia" w:cstheme="minorBidi"/>
          <w:b/>
          <w:bCs/>
          <w:sz w:val="28"/>
          <w:szCs w:val="28"/>
          <w:lang w:val="en-US" w:eastAsia="zh-CN"/>
        </w:rPr>
      </w:pPr>
    </w:p>
    <w:p>
      <w:pPr>
        <w:jc w:val="both"/>
        <w:rPr>
          <w:rFonts w:hint="eastAsia" w:asciiTheme="minorHAnsi" w:hAnsiTheme="minorHAnsi" w:eastAsiaTheme="minorEastAsia" w:cstheme="minorBidi"/>
          <w:b/>
          <w:bCs/>
          <w:sz w:val="28"/>
          <w:szCs w:val="28"/>
          <w:lang w:val="en-US" w:eastAsia="zh-CN"/>
        </w:rPr>
      </w:pPr>
    </w:p>
    <w:p>
      <w:pPr>
        <w:jc w:val="center"/>
        <w:rPr>
          <w:rFonts w:hint="eastAsia" w:asciiTheme="minorHAnsi" w:hAnsiTheme="minorHAnsi" w:eastAsiaTheme="minorEastAsia" w:cstheme="minorBidi"/>
          <w:b/>
          <w:bCs/>
          <w:sz w:val="24"/>
          <w:szCs w:val="24"/>
          <w:lang w:val="en-US" w:eastAsia="zh-CN"/>
        </w:rPr>
      </w:pPr>
    </w:p>
    <w:p>
      <w:pPr>
        <w:jc w:val="center"/>
        <w:rPr>
          <w:rFonts w:hint="eastAsia" w:asciiTheme="minorHAnsi" w:hAnsiTheme="minorHAnsi" w:eastAsiaTheme="minorEastAsia" w:cstheme="minorBidi"/>
          <w:b/>
          <w:bCs/>
          <w:sz w:val="24"/>
          <w:szCs w:val="24"/>
          <w:lang w:val="en-US" w:eastAsia="zh-CN"/>
        </w:rPr>
      </w:pPr>
      <w:r>
        <w:rPr>
          <w:rFonts w:hint="eastAsia" w:asciiTheme="minorHAnsi" w:hAnsiTheme="minorHAnsi" w:eastAsiaTheme="minorEastAsia" w:cstheme="minorBidi"/>
          <w:b/>
          <w:bCs/>
          <w:sz w:val="24"/>
          <w:szCs w:val="24"/>
          <w:lang w:val="en-US" w:eastAsia="zh-CN"/>
        </w:rPr>
        <w:t>表3：经济学类、管理学类大学科基础课程建议设置方案</w:t>
      </w:r>
    </w:p>
    <w:tbl>
      <w:tblPr>
        <w:tblStyle w:val="5"/>
        <w:tblW w:w="9690"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727"/>
        <w:gridCol w:w="475"/>
        <w:gridCol w:w="313"/>
        <w:gridCol w:w="464"/>
        <w:gridCol w:w="593"/>
        <w:gridCol w:w="670"/>
        <w:gridCol w:w="658"/>
        <w:gridCol w:w="604"/>
        <w:gridCol w:w="712"/>
        <w:gridCol w:w="1090"/>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restart"/>
            <w:vAlign w:val="center"/>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课程代码</w:t>
            </w:r>
          </w:p>
        </w:tc>
        <w:tc>
          <w:tcPr>
            <w:tcW w:w="1727" w:type="dxa"/>
            <w:vMerge w:val="restart"/>
            <w:vAlign w:val="center"/>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课程名称</w:t>
            </w:r>
          </w:p>
        </w:tc>
        <w:tc>
          <w:tcPr>
            <w:tcW w:w="475" w:type="dxa"/>
            <w:vMerge w:val="restart"/>
            <w:vAlign w:val="center"/>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学时</w:t>
            </w:r>
          </w:p>
        </w:tc>
        <w:tc>
          <w:tcPr>
            <w:tcW w:w="313" w:type="dxa"/>
            <w:vMerge w:val="restart"/>
            <w:vAlign w:val="center"/>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学分</w:t>
            </w:r>
          </w:p>
        </w:tc>
        <w:tc>
          <w:tcPr>
            <w:tcW w:w="2385" w:type="dxa"/>
            <w:gridSpan w:val="4"/>
            <w:vAlign w:val="center"/>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学时分配</w:t>
            </w:r>
          </w:p>
        </w:tc>
        <w:tc>
          <w:tcPr>
            <w:tcW w:w="604" w:type="dxa"/>
            <w:vMerge w:val="restart"/>
            <w:vAlign w:val="center"/>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开课学期</w:t>
            </w:r>
          </w:p>
        </w:tc>
        <w:tc>
          <w:tcPr>
            <w:tcW w:w="712" w:type="dxa"/>
            <w:vMerge w:val="restart"/>
            <w:vAlign w:val="center"/>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考核方式</w:t>
            </w:r>
          </w:p>
        </w:tc>
        <w:tc>
          <w:tcPr>
            <w:tcW w:w="1090" w:type="dxa"/>
            <w:vMerge w:val="restart"/>
            <w:vAlign w:val="center"/>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课程模块</w:t>
            </w:r>
          </w:p>
        </w:tc>
        <w:tc>
          <w:tcPr>
            <w:tcW w:w="1295" w:type="dxa"/>
            <w:vMerge w:val="restart"/>
            <w:vAlign w:val="center"/>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Merge w:val="continue"/>
          </w:tcPr>
          <w:p>
            <w:pPr>
              <w:rPr>
                <w:rFonts w:hint="eastAsia" w:asciiTheme="minorHAnsi" w:hAnsiTheme="minorHAnsi" w:eastAsiaTheme="minorEastAsia" w:cstheme="minorBidi"/>
                <w:vertAlign w:val="baseline"/>
                <w:lang w:val="en-US" w:eastAsia="zh-CN"/>
              </w:rPr>
            </w:pPr>
          </w:p>
        </w:tc>
        <w:tc>
          <w:tcPr>
            <w:tcW w:w="1727" w:type="dxa"/>
            <w:vMerge w:val="continue"/>
          </w:tcPr>
          <w:p>
            <w:pPr>
              <w:rPr>
                <w:rFonts w:hint="eastAsia" w:asciiTheme="minorHAnsi" w:hAnsiTheme="minorHAnsi" w:eastAsiaTheme="minorEastAsia" w:cstheme="minorBidi"/>
                <w:vertAlign w:val="baseline"/>
                <w:lang w:val="en-US" w:eastAsia="zh-CN"/>
              </w:rPr>
            </w:pPr>
          </w:p>
        </w:tc>
        <w:tc>
          <w:tcPr>
            <w:tcW w:w="475" w:type="dxa"/>
            <w:vMerge w:val="continue"/>
          </w:tcPr>
          <w:p>
            <w:pPr>
              <w:rPr>
                <w:rFonts w:hint="eastAsia" w:asciiTheme="minorHAnsi" w:hAnsiTheme="minorHAnsi" w:eastAsiaTheme="minorEastAsia" w:cstheme="minorBidi"/>
                <w:vertAlign w:val="baseline"/>
                <w:lang w:val="en-US" w:eastAsia="zh-CN"/>
              </w:rPr>
            </w:pPr>
          </w:p>
        </w:tc>
        <w:tc>
          <w:tcPr>
            <w:tcW w:w="313" w:type="dxa"/>
            <w:vMerge w:val="continue"/>
          </w:tcPr>
          <w:p>
            <w:pPr>
              <w:rPr>
                <w:rFonts w:hint="eastAsia" w:asciiTheme="minorHAnsi" w:hAnsiTheme="minorHAnsi" w:eastAsiaTheme="minorEastAsia" w:cstheme="minorBidi"/>
                <w:vertAlign w:val="baseline"/>
                <w:lang w:val="en-US" w:eastAsia="zh-CN"/>
              </w:rPr>
            </w:pPr>
          </w:p>
        </w:tc>
        <w:tc>
          <w:tcPr>
            <w:tcW w:w="464" w:type="dxa"/>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讲授</w:t>
            </w:r>
          </w:p>
        </w:tc>
        <w:tc>
          <w:tcPr>
            <w:tcW w:w="593" w:type="dxa"/>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专题讲座</w:t>
            </w:r>
          </w:p>
        </w:tc>
        <w:tc>
          <w:tcPr>
            <w:tcW w:w="670" w:type="dxa"/>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课程实践</w:t>
            </w:r>
          </w:p>
        </w:tc>
        <w:tc>
          <w:tcPr>
            <w:tcW w:w="658" w:type="dxa"/>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自主学习</w:t>
            </w:r>
          </w:p>
        </w:tc>
        <w:tc>
          <w:tcPr>
            <w:tcW w:w="604" w:type="dxa"/>
            <w:vMerge w:val="continue"/>
          </w:tcPr>
          <w:p>
            <w:pPr>
              <w:rPr>
                <w:rFonts w:hint="eastAsia" w:asciiTheme="minorHAnsi" w:hAnsiTheme="minorHAnsi" w:eastAsiaTheme="minorEastAsia" w:cstheme="minorBidi"/>
                <w:vertAlign w:val="baseline"/>
                <w:lang w:val="en-US" w:eastAsia="zh-CN"/>
              </w:rPr>
            </w:pPr>
          </w:p>
        </w:tc>
        <w:tc>
          <w:tcPr>
            <w:tcW w:w="712" w:type="dxa"/>
            <w:vMerge w:val="continue"/>
          </w:tcPr>
          <w:p>
            <w:pPr>
              <w:rPr>
                <w:rFonts w:hint="eastAsia" w:asciiTheme="minorHAnsi" w:hAnsiTheme="minorHAnsi" w:eastAsiaTheme="minorEastAsia" w:cstheme="minorBidi"/>
                <w:vertAlign w:val="baseline"/>
                <w:lang w:val="en-US" w:eastAsia="zh-CN"/>
              </w:rPr>
            </w:pP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default" w:asciiTheme="minorHAnsi" w:hAnsiTheme="minorHAnsi" w:eastAsiaTheme="minorEastAsia" w:cstheme="minorBidi"/>
                <w:vertAlign w:val="baseline"/>
                <w:lang w:val="en-US" w:eastAsia="zh-CN"/>
              </w:rPr>
              <w:t>15010063</w:t>
            </w:r>
          </w:p>
        </w:tc>
        <w:tc>
          <w:tcPr>
            <w:tcW w:w="172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政治经济学A</w:t>
            </w:r>
          </w:p>
        </w:tc>
        <w:tc>
          <w:tcPr>
            <w:tcW w:w="475" w:type="dxa"/>
            <w:vAlign w:val="top"/>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48</w:t>
            </w:r>
          </w:p>
        </w:tc>
        <w:tc>
          <w:tcPr>
            <w:tcW w:w="313" w:type="dxa"/>
            <w:vAlign w:val="top"/>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464" w:type="dxa"/>
            <w:vAlign w:val="top"/>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48</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restart"/>
            <w:vAlign w:val="center"/>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学科（专业）基础课</w:t>
            </w:r>
          </w:p>
        </w:tc>
        <w:tc>
          <w:tcPr>
            <w:tcW w:w="1295" w:type="dxa"/>
            <w:vMerge w:val="restart"/>
            <w:vAlign w:val="center"/>
          </w:tcPr>
          <w:p>
            <w:pPr>
              <w:numPr>
                <w:ilvl w:val="0"/>
                <w:numId w:val="1"/>
              </w:numPr>
              <w:jc w:val="left"/>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各专业应根据培养目标和学校办学特色合理选择课程列入人才培养方案。</w:t>
            </w:r>
          </w:p>
          <w:p>
            <w:pPr>
              <w:numPr>
                <w:ilvl w:val="0"/>
                <w:numId w:val="0"/>
              </w:numPr>
              <w:jc w:val="left"/>
              <w:rPr>
                <w:rFonts w:hint="default" w:asciiTheme="minorHAnsi" w:hAnsiTheme="minorHAnsi" w:eastAsiaTheme="minorEastAsia" w:cstheme="minorBidi"/>
                <w:vertAlign w:val="baseline"/>
                <w:lang w:val="en-US" w:eastAsia="zh-CN"/>
              </w:rPr>
            </w:pPr>
          </w:p>
          <w:p>
            <w:pPr>
              <w:numPr>
                <w:ilvl w:val="0"/>
                <w:numId w:val="0"/>
              </w:numPr>
              <w:jc w:val="left"/>
              <w:rPr>
                <w:rFonts w:hint="default" w:asciiTheme="minorHAnsi" w:hAnsiTheme="minorHAnsi" w:eastAsiaTheme="minorEastAsia" w:cstheme="minorBidi"/>
                <w:vertAlign w:val="baseline"/>
                <w:lang w:val="en-US" w:eastAsia="zh-CN"/>
              </w:rPr>
            </w:pPr>
          </w:p>
          <w:p>
            <w:pPr>
              <w:numPr>
                <w:ilvl w:val="0"/>
                <w:numId w:val="1"/>
              </w:numPr>
              <w:jc w:val="left"/>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经管类、理工类各专业以及厚生实验班需参看《表2：数学类课程建议设置方案》，在学科（专业）基础课模块列入相关的数学课程。</w:t>
            </w:r>
          </w:p>
          <w:p>
            <w:pPr>
              <w:numPr>
                <w:ilvl w:val="0"/>
                <w:numId w:val="0"/>
              </w:numPr>
              <w:jc w:val="left"/>
              <w:rPr>
                <w:rFonts w:hint="default" w:asciiTheme="minorHAnsi" w:hAnsiTheme="minorHAnsi" w:eastAsiaTheme="minorEastAsia" w:cstheme="minorBidi"/>
                <w:vertAlign w:val="baseline"/>
                <w:lang w:val="en-US" w:eastAsia="zh-CN"/>
              </w:rPr>
            </w:pPr>
          </w:p>
          <w:p>
            <w:pPr>
              <w:numPr>
                <w:ilvl w:val="0"/>
                <w:numId w:val="0"/>
              </w:numPr>
              <w:jc w:val="left"/>
              <w:rPr>
                <w:rFonts w:hint="default"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15010053</w:t>
            </w:r>
          </w:p>
        </w:tc>
        <w:tc>
          <w:tcPr>
            <w:tcW w:w="172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政治经济学B</w:t>
            </w:r>
          </w:p>
        </w:tc>
        <w:tc>
          <w:tcPr>
            <w:tcW w:w="475"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32</w:t>
            </w:r>
          </w:p>
        </w:tc>
        <w:tc>
          <w:tcPr>
            <w:tcW w:w="313"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32</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15010173</w:t>
            </w:r>
          </w:p>
        </w:tc>
        <w:tc>
          <w:tcPr>
            <w:tcW w:w="1727"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政治经济学</w:t>
            </w:r>
          </w:p>
        </w:tc>
        <w:tc>
          <w:tcPr>
            <w:tcW w:w="475"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64</w:t>
            </w:r>
          </w:p>
        </w:tc>
        <w:tc>
          <w:tcPr>
            <w:tcW w:w="313"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64</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15012873</w:t>
            </w:r>
          </w:p>
        </w:tc>
        <w:tc>
          <w:tcPr>
            <w:tcW w:w="172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微观经济学A</w:t>
            </w:r>
          </w:p>
        </w:tc>
        <w:tc>
          <w:tcPr>
            <w:tcW w:w="475"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48</w:t>
            </w:r>
          </w:p>
        </w:tc>
        <w:tc>
          <w:tcPr>
            <w:tcW w:w="313"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48</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15012863</w:t>
            </w:r>
          </w:p>
        </w:tc>
        <w:tc>
          <w:tcPr>
            <w:tcW w:w="172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微观经济学B</w:t>
            </w:r>
          </w:p>
        </w:tc>
        <w:tc>
          <w:tcPr>
            <w:tcW w:w="475"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32</w:t>
            </w:r>
          </w:p>
        </w:tc>
        <w:tc>
          <w:tcPr>
            <w:tcW w:w="313"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32</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15010883</w:t>
            </w:r>
          </w:p>
        </w:tc>
        <w:tc>
          <w:tcPr>
            <w:tcW w:w="1727"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微观经济学</w:t>
            </w:r>
          </w:p>
        </w:tc>
        <w:tc>
          <w:tcPr>
            <w:tcW w:w="475"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64</w:t>
            </w:r>
          </w:p>
        </w:tc>
        <w:tc>
          <w:tcPr>
            <w:tcW w:w="313"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64</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15010033</w:t>
            </w:r>
          </w:p>
        </w:tc>
        <w:tc>
          <w:tcPr>
            <w:tcW w:w="172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宏观经济学A</w:t>
            </w:r>
          </w:p>
        </w:tc>
        <w:tc>
          <w:tcPr>
            <w:tcW w:w="475"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48</w:t>
            </w:r>
          </w:p>
        </w:tc>
        <w:tc>
          <w:tcPr>
            <w:tcW w:w="313"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48</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15010043</w:t>
            </w:r>
          </w:p>
        </w:tc>
        <w:tc>
          <w:tcPr>
            <w:tcW w:w="172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宏观经济学B</w:t>
            </w:r>
          </w:p>
        </w:tc>
        <w:tc>
          <w:tcPr>
            <w:tcW w:w="475"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32</w:t>
            </w:r>
          </w:p>
        </w:tc>
        <w:tc>
          <w:tcPr>
            <w:tcW w:w="313"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32</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15010983</w:t>
            </w:r>
          </w:p>
        </w:tc>
        <w:tc>
          <w:tcPr>
            <w:tcW w:w="1727"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宏观经济学</w:t>
            </w:r>
          </w:p>
        </w:tc>
        <w:tc>
          <w:tcPr>
            <w:tcW w:w="475"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64</w:t>
            </w:r>
          </w:p>
        </w:tc>
        <w:tc>
          <w:tcPr>
            <w:tcW w:w="313"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64</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15010023</w:t>
            </w:r>
          </w:p>
        </w:tc>
        <w:tc>
          <w:tcPr>
            <w:tcW w:w="172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计量经济学A</w:t>
            </w:r>
          </w:p>
        </w:tc>
        <w:tc>
          <w:tcPr>
            <w:tcW w:w="475"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48</w:t>
            </w:r>
          </w:p>
        </w:tc>
        <w:tc>
          <w:tcPr>
            <w:tcW w:w="313"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40</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w:t>
            </w: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微软雅黑" w:hAnsi="微软雅黑" w:eastAsia="微软雅黑" w:cs="微软雅黑"/>
                <w:sz w:val="18"/>
                <w:szCs w:val="18"/>
              </w:rPr>
              <w:t>15010303</w:t>
            </w:r>
          </w:p>
        </w:tc>
        <w:tc>
          <w:tcPr>
            <w:tcW w:w="172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计量经济学B</w:t>
            </w:r>
          </w:p>
        </w:tc>
        <w:tc>
          <w:tcPr>
            <w:tcW w:w="475"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32</w:t>
            </w:r>
          </w:p>
        </w:tc>
        <w:tc>
          <w:tcPr>
            <w:tcW w:w="313"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26</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w:t>
            </w: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15010183</w:t>
            </w:r>
          </w:p>
        </w:tc>
        <w:tc>
          <w:tcPr>
            <w:tcW w:w="1727"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计量经济学</w:t>
            </w:r>
          </w:p>
        </w:tc>
        <w:tc>
          <w:tcPr>
            <w:tcW w:w="475"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64</w:t>
            </w:r>
          </w:p>
        </w:tc>
        <w:tc>
          <w:tcPr>
            <w:tcW w:w="313"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2"/>
                <w:sz w:val="21"/>
                <w:szCs w:val="21"/>
                <w:vertAlign w:val="baseline"/>
                <w:lang w:val="en-US" w:eastAsia="zh-CN" w:bidi="ar-SA"/>
              </w:rPr>
              <w:t>48</w:t>
            </w:r>
          </w:p>
        </w:tc>
        <w:tc>
          <w:tcPr>
            <w:tcW w:w="593" w:type="dxa"/>
            <w:vAlign w:val="top"/>
          </w:tcPr>
          <w:p>
            <w:pPr>
              <w:jc w:val="center"/>
              <w:rPr>
                <w:rFonts w:hint="eastAsia" w:ascii="宋体" w:hAnsi="宋体" w:eastAsia="宋体" w:cs="宋体"/>
                <w:kern w:val="2"/>
                <w:sz w:val="21"/>
                <w:szCs w:val="21"/>
                <w:vertAlign w:val="baseline"/>
                <w:lang w:val="en-US" w:eastAsia="zh-CN" w:bidi="ar-SA"/>
              </w:rPr>
            </w:pPr>
          </w:p>
        </w:tc>
        <w:tc>
          <w:tcPr>
            <w:tcW w:w="670"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16</w:t>
            </w:r>
          </w:p>
        </w:tc>
        <w:tc>
          <w:tcPr>
            <w:tcW w:w="658" w:type="dxa"/>
            <w:vAlign w:val="top"/>
          </w:tcPr>
          <w:p>
            <w:pPr>
              <w:jc w:val="center"/>
              <w:rPr>
                <w:rFonts w:hint="eastAsia" w:ascii="宋体" w:hAnsi="宋体" w:eastAsia="宋体" w:cs="宋体"/>
                <w:kern w:val="2"/>
                <w:sz w:val="21"/>
                <w:szCs w:val="21"/>
                <w:vertAlign w:val="baseline"/>
                <w:lang w:val="en-US" w:eastAsia="zh-CN" w:bidi="ar-SA"/>
              </w:rPr>
            </w:pPr>
          </w:p>
        </w:tc>
        <w:tc>
          <w:tcPr>
            <w:tcW w:w="60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712"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15022733</w:t>
            </w:r>
          </w:p>
        </w:tc>
        <w:tc>
          <w:tcPr>
            <w:tcW w:w="1727" w:type="dxa"/>
            <w:vAlign w:val="top"/>
          </w:tcPr>
          <w:p>
            <w:pPr>
              <w:rPr>
                <w:rFonts w:hint="default"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国际经济学A</w:t>
            </w:r>
          </w:p>
        </w:tc>
        <w:tc>
          <w:tcPr>
            <w:tcW w:w="475" w:type="dxa"/>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48</w:t>
            </w:r>
          </w:p>
        </w:tc>
        <w:tc>
          <w:tcPr>
            <w:tcW w:w="313" w:type="dxa"/>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464" w:type="dxa"/>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vertAlign w:val="baseline"/>
                <w:lang w:val="en-US" w:eastAsia="zh-CN"/>
              </w:rPr>
              <w:t>48</w:t>
            </w:r>
          </w:p>
        </w:tc>
        <w:tc>
          <w:tcPr>
            <w:tcW w:w="593" w:type="dxa"/>
            <w:vAlign w:val="top"/>
          </w:tcPr>
          <w:p>
            <w:pPr>
              <w:jc w:val="center"/>
              <w:rPr>
                <w:rFonts w:hint="eastAsia" w:ascii="宋体" w:hAnsi="宋体" w:eastAsia="宋体" w:cs="宋体"/>
                <w:kern w:val="2"/>
                <w:sz w:val="21"/>
                <w:szCs w:val="21"/>
                <w:lang w:val="en-US" w:eastAsia="zh-CN" w:bidi="ar-SA"/>
              </w:rPr>
            </w:pPr>
          </w:p>
        </w:tc>
        <w:tc>
          <w:tcPr>
            <w:tcW w:w="670" w:type="dxa"/>
            <w:vAlign w:val="top"/>
          </w:tcPr>
          <w:p>
            <w:pPr>
              <w:jc w:val="center"/>
              <w:rPr>
                <w:rFonts w:hint="eastAsia" w:ascii="宋体" w:hAnsi="宋体" w:eastAsia="宋体" w:cs="宋体"/>
                <w:kern w:val="2"/>
                <w:sz w:val="21"/>
                <w:szCs w:val="21"/>
                <w:lang w:val="en-US" w:eastAsia="zh-CN" w:bidi="ar-SA"/>
              </w:rPr>
            </w:pPr>
          </w:p>
        </w:tc>
        <w:tc>
          <w:tcPr>
            <w:tcW w:w="658" w:type="dxa"/>
            <w:vAlign w:val="top"/>
          </w:tcPr>
          <w:p>
            <w:pPr>
              <w:jc w:val="center"/>
              <w:rPr>
                <w:rFonts w:hint="eastAsia" w:ascii="宋体" w:hAnsi="宋体" w:eastAsia="宋体" w:cs="宋体"/>
                <w:kern w:val="2"/>
                <w:sz w:val="21"/>
                <w:szCs w:val="21"/>
                <w:lang w:val="en-US" w:eastAsia="zh-CN" w:bidi="ar-SA"/>
              </w:rPr>
            </w:pPr>
          </w:p>
        </w:tc>
        <w:tc>
          <w:tcPr>
            <w:tcW w:w="604" w:type="dxa"/>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712" w:type="dxa"/>
            <w:vAlign w:val="top"/>
          </w:tcPr>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15022723</w:t>
            </w:r>
          </w:p>
        </w:tc>
        <w:tc>
          <w:tcPr>
            <w:tcW w:w="1727"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vertAlign w:val="baseline"/>
                <w:lang w:val="en-US" w:eastAsia="zh-CN"/>
              </w:rPr>
              <w:t>国际经济学B</w:t>
            </w:r>
          </w:p>
        </w:tc>
        <w:tc>
          <w:tcPr>
            <w:tcW w:w="475" w:type="dxa"/>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32</w:t>
            </w:r>
          </w:p>
        </w:tc>
        <w:tc>
          <w:tcPr>
            <w:tcW w:w="313" w:type="dxa"/>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464" w:type="dxa"/>
            <w:vAlign w:val="top"/>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32</w:t>
            </w:r>
          </w:p>
        </w:tc>
        <w:tc>
          <w:tcPr>
            <w:tcW w:w="593" w:type="dxa"/>
            <w:vAlign w:val="top"/>
          </w:tcPr>
          <w:p>
            <w:pPr>
              <w:jc w:val="center"/>
              <w:rPr>
                <w:rFonts w:hint="eastAsia" w:ascii="宋体" w:hAnsi="宋体" w:eastAsia="宋体" w:cs="宋体"/>
                <w:kern w:val="2"/>
                <w:sz w:val="21"/>
                <w:szCs w:val="21"/>
                <w:lang w:val="en-US" w:eastAsia="zh-CN" w:bidi="ar-SA"/>
              </w:rPr>
            </w:pPr>
          </w:p>
        </w:tc>
        <w:tc>
          <w:tcPr>
            <w:tcW w:w="670" w:type="dxa"/>
            <w:vAlign w:val="top"/>
          </w:tcPr>
          <w:p>
            <w:pPr>
              <w:jc w:val="center"/>
              <w:rPr>
                <w:rFonts w:hint="eastAsia" w:ascii="宋体" w:hAnsi="宋体" w:eastAsia="宋体" w:cs="宋体"/>
                <w:kern w:val="2"/>
                <w:sz w:val="21"/>
                <w:szCs w:val="21"/>
                <w:lang w:val="en-US" w:eastAsia="zh-CN" w:bidi="ar-SA"/>
              </w:rPr>
            </w:pPr>
          </w:p>
        </w:tc>
        <w:tc>
          <w:tcPr>
            <w:tcW w:w="658" w:type="dxa"/>
            <w:vAlign w:val="top"/>
          </w:tcPr>
          <w:p>
            <w:pPr>
              <w:jc w:val="center"/>
              <w:rPr>
                <w:rFonts w:hint="eastAsia" w:ascii="宋体" w:hAnsi="宋体" w:eastAsia="宋体" w:cs="宋体"/>
                <w:kern w:val="2"/>
                <w:sz w:val="21"/>
                <w:szCs w:val="21"/>
                <w:lang w:val="en-US" w:eastAsia="zh-CN" w:bidi="ar-SA"/>
              </w:rPr>
            </w:pPr>
          </w:p>
        </w:tc>
        <w:tc>
          <w:tcPr>
            <w:tcW w:w="604" w:type="dxa"/>
            <w:vAlign w:val="top"/>
          </w:tcPr>
          <w:p>
            <w:pPr>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712" w:type="dxa"/>
            <w:vAlign w:val="top"/>
          </w:tcPr>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07029663</w:t>
            </w:r>
          </w:p>
        </w:tc>
        <w:tc>
          <w:tcPr>
            <w:tcW w:w="1727" w:type="dxa"/>
            <w:vAlign w:val="top"/>
          </w:tcPr>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技术经济学A</w:t>
            </w:r>
          </w:p>
        </w:tc>
        <w:tc>
          <w:tcPr>
            <w:tcW w:w="475"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48</w:t>
            </w:r>
          </w:p>
        </w:tc>
        <w:tc>
          <w:tcPr>
            <w:tcW w:w="313"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3</w:t>
            </w:r>
          </w:p>
        </w:tc>
        <w:tc>
          <w:tcPr>
            <w:tcW w:w="464"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48</w:t>
            </w:r>
          </w:p>
        </w:tc>
        <w:tc>
          <w:tcPr>
            <w:tcW w:w="593" w:type="dxa"/>
            <w:vAlign w:val="top"/>
          </w:tcPr>
          <w:p>
            <w:pPr>
              <w:jc w:val="center"/>
              <w:rPr>
                <w:rFonts w:hint="eastAsia" w:asciiTheme="minorHAnsi" w:hAnsiTheme="minorHAnsi" w:eastAsiaTheme="minorEastAsia" w:cstheme="minorBidi"/>
                <w:kern w:val="2"/>
                <w:sz w:val="21"/>
                <w:szCs w:val="24"/>
                <w:lang w:val="en-US" w:eastAsia="zh-CN" w:bidi="ar-SA"/>
              </w:rPr>
            </w:pPr>
          </w:p>
        </w:tc>
        <w:tc>
          <w:tcPr>
            <w:tcW w:w="670" w:type="dxa"/>
            <w:vAlign w:val="top"/>
          </w:tcPr>
          <w:p>
            <w:pPr>
              <w:jc w:val="center"/>
              <w:rPr>
                <w:rFonts w:hint="eastAsia" w:asciiTheme="minorHAnsi" w:hAnsiTheme="minorHAnsi" w:eastAsiaTheme="minorEastAsia" w:cstheme="minorBidi"/>
                <w:kern w:val="2"/>
                <w:sz w:val="21"/>
                <w:szCs w:val="24"/>
                <w:lang w:val="en-US" w:eastAsia="zh-CN" w:bidi="ar-SA"/>
              </w:rPr>
            </w:pPr>
          </w:p>
        </w:tc>
        <w:tc>
          <w:tcPr>
            <w:tcW w:w="658" w:type="dxa"/>
            <w:vAlign w:val="top"/>
          </w:tcPr>
          <w:p>
            <w:pPr>
              <w:jc w:val="center"/>
              <w:rPr>
                <w:rFonts w:hint="eastAsia" w:asciiTheme="minorHAnsi" w:hAnsiTheme="minorHAnsi" w:eastAsiaTheme="minorEastAsia" w:cstheme="minorBidi"/>
                <w:kern w:val="2"/>
                <w:sz w:val="21"/>
                <w:szCs w:val="24"/>
                <w:lang w:val="en-US" w:eastAsia="zh-CN" w:bidi="ar-SA"/>
              </w:rPr>
            </w:pPr>
          </w:p>
        </w:tc>
        <w:tc>
          <w:tcPr>
            <w:tcW w:w="604" w:type="dxa"/>
            <w:vAlign w:val="top"/>
          </w:tcPr>
          <w:p>
            <w:pPr>
              <w:jc w:val="center"/>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3/4</w:t>
            </w:r>
          </w:p>
        </w:tc>
        <w:tc>
          <w:tcPr>
            <w:tcW w:w="712" w:type="dxa"/>
            <w:vAlign w:val="top"/>
          </w:tcPr>
          <w:p>
            <w:pPr>
              <w:rPr>
                <w:rFonts w:hint="eastAsia" w:asciiTheme="minorHAnsi" w:hAnsiTheme="minorHAnsi" w:eastAsiaTheme="minorEastAsia" w:cstheme="minorBidi"/>
                <w:kern w:val="2"/>
                <w:sz w:val="21"/>
                <w:szCs w:val="24"/>
                <w:lang w:val="en-US" w:eastAsia="zh-CN" w:bidi="ar-SA"/>
              </w:rPr>
            </w:pPr>
            <w:r>
              <w:rPr>
                <w:rFonts w:asciiTheme="minorHAnsi" w:hAnsiTheme="minorHAnsi" w:eastAsiaTheme="minorEastAsia" w:cstheme="minorBidi"/>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07029963</w:t>
            </w:r>
          </w:p>
        </w:tc>
        <w:tc>
          <w:tcPr>
            <w:tcW w:w="1727" w:type="dxa"/>
            <w:vAlign w:val="top"/>
          </w:tcPr>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技术经济学B</w:t>
            </w:r>
          </w:p>
        </w:tc>
        <w:tc>
          <w:tcPr>
            <w:tcW w:w="475"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32</w:t>
            </w:r>
          </w:p>
        </w:tc>
        <w:tc>
          <w:tcPr>
            <w:tcW w:w="313"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2</w:t>
            </w:r>
          </w:p>
        </w:tc>
        <w:tc>
          <w:tcPr>
            <w:tcW w:w="464" w:type="dxa"/>
            <w:vAlign w:val="top"/>
          </w:tcPr>
          <w:p>
            <w:pPr>
              <w:jc w:val="cente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32</w:t>
            </w:r>
          </w:p>
        </w:tc>
        <w:tc>
          <w:tcPr>
            <w:tcW w:w="593" w:type="dxa"/>
            <w:vAlign w:val="top"/>
          </w:tcPr>
          <w:p>
            <w:pPr>
              <w:jc w:val="center"/>
              <w:rPr>
                <w:rFonts w:hint="eastAsia" w:asciiTheme="minorHAnsi" w:hAnsiTheme="minorHAnsi" w:eastAsiaTheme="minorEastAsia" w:cstheme="minorBidi"/>
                <w:kern w:val="2"/>
                <w:sz w:val="21"/>
                <w:szCs w:val="24"/>
                <w:lang w:val="en-US" w:eastAsia="zh-CN" w:bidi="ar-SA"/>
              </w:rPr>
            </w:pPr>
          </w:p>
        </w:tc>
        <w:tc>
          <w:tcPr>
            <w:tcW w:w="670" w:type="dxa"/>
            <w:vAlign w:val="top"/>
          </w:tcPr>
          <w:p>
            <w:pPr>
              <w:jc w:val="center"/>
              <w:rPr>
                <w:rFonts w:hint="eastAsia" w:asciiTheme="minorHAnsi" w:hAnsiTheme="minorHAnsi" w:eastAsiaTheme="minorEastAsia" w:cstheme="minorBidi"/>
                <w:kern w:val="2"/>
                <w:sz w:val="21"/>
                <w:szCs w:val="24"/>
                <w:lang w:val="en-US" w:eastAsia="zh-CN" w:bidi="ar-SA"/>
              </w:rPr>
            </w:pPr>
          </w:p>
        </w:tc>
        <w:tc>
          <w:tcPr>
            <w:tcW w:w="658" w:type="dxa"/>
            <w:vAlign w:val="top"/>
          </w:tcPr>
          <w:p>
            <w:pPr>
              <w:jc w:val="center"/>
              <w:rPr>
                <w:rFonts w:hint="eastAsia" w:asciiTheme="minorHAnsi" w:hAnsiTheme="minorHAnsi" w:eastAsiaTheme="minorEastAsia" w:cstheme="minorBidi"/>
                <w:kern w:val="2"/>
                <w:sz w:val="21"/>
                <w:szCs w:val="24"/>
                <w:lang w:val="en-US" w:eastAsia="zh-CN" w:bidi="ar-SA"/>
              </w:rPr>
            </w:pPr>
          </w:p>
        </w:tc>
        <w:tc>
          <w:tcPr>
            <w:tcW w:w="604" w:type="dxa"/>
            <w:vAlign w:val="top"/>
          </w:tcPr>
          <w:p>
            <w:pPr>
              <w:jc w:val="center"/>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3/4</w:t>
            </w:r>
          </w:p>
        </w:tc>
        <w:tc>
          <w:tcPr>
            <w:tcW w:w="712" w:type="dxa"/>
            <w:vAlign w:val="top"/>
          </w:tcPr>
          <w:p>
            <w:pPr>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rPr>
              <w:t>考查</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01050113</w:t>
            </w:r>
          </w:p>
        </w:tc>
        <w:tc>
          <w:tcPr>
            <w:tcW w:w="1727"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会计学A</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48</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3</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48</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1</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01050123</w:t>
            </w:r>
          </w:p>
        </w:tc>
        <w:tc>
          <w:tcPr>
            <w:tcW w:w="1727"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会计学B</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32</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2</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32</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2</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center"/>
          </w:tcPr>
          <w:p>
            <w:pPr>
              <w:jc w:val="both"/>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01030593</w:t>
            </w:r>
          </w:p>
        </w:tc>
        <w:tc>
          <w:tcPr>
            <w:tcW w:w="1727" w:type="dxa"/>
            <w:vAlign w:val="center"/>
          </w:tcPr>
          <w:p>
            <w:pPr>
              <w:jc w:val="both"/>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财务管理A</w:t>
            </w:r>
          </w:p>
        </w:tc>
        <w:tc>
          <w:tcPr>
            <w:tcW w:w="475" w:type="dxa"/>
            <w:vAlign w:val="center"/>
          </w:tcPr>
          <w:p>
            <w:pPr>
              <w:jc w:val="both"/>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48</w:t>
            </w:r>
          </w:p>
        </w:tc>
        <w:tc>
          <w:tcPr>
            <w:tcW w:w="313" w:type="dxa"/>
            <w:vAlign w:val="center"/>
          </w:tcPr>
          <w:p>
            <w:pPr>
              <w:jc w:val="both"/>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3</w:t>
            </w:r>
          </w:p>
        </w:tc>
        <w:tc>
          <w:tcPr>
            <w:tcW w:w="464" w:type="dxa"/>
            <w:vAlign w:val="center"/>
          </w:tcPr>
          <w:p>
            <w:pPr>
              <w:jc w:val="both"/>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48</w:t>
            </w:r>
          </w:p>
        </w:tc>
        <w:tc>
          <w:tcPr>
            <w:tcW w:w="593" w:type="dxa"/>
            <w:vAlign w:val="center"/>
          </w:tcPr>
          <w:p>
            <w:pPr>
              <w:jc w:val="both"/>
              <w:rPr>
                <w:rFonts w:hint="eastAsia" w:asciiTheme="minorHAnsi" w:hAnsiTheme="minorHAnsi" w:eastAsiaTheme="minorEastAsia" w:cstheme="minorBidi"/>
                <w:vertAlign w:val="baseline"/>
                <w:lang w:val="en-US" w:eastAsia="zh-CN"/>
              </w:rPr>
            </w:pPr>
          </w:p>
        </w:tc>
        <w:tc>
          <w:tcPr>
            <w:tcW w:w="670" w:type="dxa"/>
            <w:vAlign w:val="center"/>
          </w:tcPr>
          <w:p>
            <w:pPr>
              <w:jc w:val="both"/>
              <w:rPr>
                <w:rFonts w:hint="eastAsia" w:asciiTheme="minorHAnsi" w:hAnsiTheme="minorHAnsi" w:eastAsiaTheme="minorEastAsia" w:cstheme="minorBidi"/>
                <w:vertAlign w:val="baseline"/>
                <w:lang w:val="en-US" w:eastAsia="zh-CN"/>
              </w:rPr>
            </w:pPr>
          </w:p>
        </w:tc>
        <w:tc>
          <w:tcPr>
            <w:tcW w:w="658" w:type="dxa"/>
            <w:vAlign w:val="center"/>
          </w:tcPr>
          <w:p>
            <w:pPr>
              <w:jc w:val="both"/>
              <w:rPr>
                <w:rFonts w:hint="eastAsia" w:asciiTheme="minorHAnsi" w:hAnsiTheme="minorHAnsi" w:eastAsiaTheme="minorEastAsia" w:cstheme="minorBidi"/>
                <w:vertAlign w:val="baseline"/>
                <w:lang w:val="en-US" w:eastAsia="zh-CN"/>
              </w:rPr>
            </w:pPr>
          </w:p>
        </w:tc>
        <w:tc>
          <w:tcPr>
            <w:tcW w:w="604" w:type="dxa"/>
            <w:vAlign w:val="center"/>
          </w:tcPr>
          <w:p>
            <w:pPr>
              <w:jc w:val="both"/>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1/2/5</w:t>
            </w:r>
          </w:p>
        </w:tc>
        <w:tc>
          <w:tcPr>
            <w:tcW w:w="712" w:type="dxa"/>
            <w:vAlign w:val="center"/>
          </w:tcPr>
          <w:p>
            <w:pPr>
              <w:jc w:val="both"/>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01030943</w:t>
            </w:r>
          </w:p>
        </w:tc>
        <w:tc>
          <w:tcPr>
            <w:tcW w:w="1727"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财务管理B</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32</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2</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32</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5</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02012123</w:t>
            </w:r>
          </w:p>
        </w:tc>
        <w:tc>
          <w:tcPr>
            <w:tcW w:w="1727"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财政学A</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48</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48</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2</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02012133</w:t>
            </w:r>
          </w:p>
        </w:tc>
        <w:tc>
          <w:tcPr>
            <w:tcW w:w="1727"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财政学B</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32</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2</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32</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1-5</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02033533</w:t>
            </w:r>
          </w:p>
        </w:tc>
        <w:tc>
          <w:tcPr>
            <w:tcW w:w="1727"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金融学A</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48</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48</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1-4</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02033543</w:t>
            </w:r>
          </w:p>
        </w:tc>
        <w:tc>
          <w:tcPr>
            <w:tcW w:w="1727" w:type="dxa"/>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金融学B</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32</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2</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32</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1-4</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03015213</w:t>
            </w:r>
          </w:p>
        </w:tc>
        <w:tc>
          <w:tcPr>
            <w:tcW w:w="1727"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管理学</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48</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48</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1/2</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考查</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03015203</w:t>
            </w:r>
          </w:p>
        </w:tc>
        <w:tc>
          <w:tcPr>
            <w:tcW w:w="1727"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管理学原理</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32</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2</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32</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1/2</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考查</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03026423</w:t>
            </w:r>
          </w:p>
        </w:tc>
        <w:tc>
          <w:tcPr>
            <w:tcW w:w="1727"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统计学</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48</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48</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3/4</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考查</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03026413</w:t>
            </w:r>
          </w:p>
        </w:tc>
        <w:tc>
          <w:tcPr>
            <w:tcW w:w="1727"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统计学原理</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32</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2</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rPr>
              <w:t>32</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3/4</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考查</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03020013</w:t>
            </w:r>
          </w:p>
        </w:tc>
        <w:tc>
          <w:tcPr>
            <w:tcW w:w="1727"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市场营销学</w:t>
            </w:r>
          </w:p>
        </w:tc>
        <w:tc>
          <w:tcPr>
            <w:tcW w:w="475"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rPr>
              <w:t>48</w:t>
            </w:r>
          </w:p>
        </w:tc>
        <w:tc>
          <w:tcPr>
            <w:tcW w:w="313"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rPr>
              <w:t>3</w:t>
            </w:r>
          </w:p>
        </w:tc>
        <w:tc>
          <w:tcPr>
            <w:tcW w:w="464"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rPr>
              <w:t>48</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2/3</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03020023</w:t>
            </w:r>
          </w:p>
        </w:tc>
        <w:tc>
          <w:tcPr>
            <w:tcW w:w="1727"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市场营销学原理</w:t>
            </w:r>
          </w:p>
        </w:tc>
        <w:tc>
          <w:tcPr>
            <w:tcW w:w="475"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rPr>
              <w:t>32</w:t>
            </w:r>
          </w:p>
        </w:tc>
        <w:tc>
          <w:tcPr>
            <w:tcW w:w="313"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rPr>
              <w:t>2</w:t>
            </w:r>
          </w:p>
        </w:tc>
        <w:tc>
          <w:tcPr>
            <w:tcW w:w="464"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Theme="minorHAnsi" w:hAnsiTheme="minorHAnsi" w:eastAsiaTheme="minorEastAsia" w:cstheme="minorBidi"/>
              </w:rPr>
              <w:t>32</w:t>
            </w:r>
          </w:p>
        </w:tc>
        <w:tc>
          <w:tcPr>
            <w:tcW w:w="593" w:type="dxa"/>
            <w:vAlign w:val="top"/>
          </w:tcPr>
          <w:p>
            <w:pPr>
              <w:jc w:val="center"/>
              <w:rPr>
                <w:rFonts w:hint="eastAsia" w:asciiTheme="minorHAnsi" w:hAnsiTheme="minorHAnsi" w:eastAsiaTheme="minorEastAsia" w:cstheme="minorBidi"/>
                <w:vertAlign w:val="baseline"/>
                <w:lang w:val="en-US" w:eastAsia="zh-CN"/>
              </w:rPr>
            </w:pPr>
          </w:p>
        </w:tc>
        <w:tc>
          <w:tcPr>
            <w:tcW w:w="670" w:type="dxa"/>
            <w:vAlign w:val="top"/>
          </w:tcPr>
          <w:p>
            <w:pPr>
              <w:jc w:val="center"/>
              <w:rPr>
                <w:rFonts w:hint="eastAsia" w:asciiTheme="minorHAnsi" w:hAnsiTheme="minorHAnsi" w:eastAsiaTheme="minorEastAsia" w:cstheme="minorBidi"/>
                <w:vertAlign w:val="baseline"/>
                <w:lang w:val="en-US" w:eastAsia="zh-CN"/>
              </w:rPr>
            </w:pPr>
          </w:p>
        </w:tc>
        <w:tc>
          <w:tcPr>
            <w:tcW w:w="658" w:type="dxa"/>
            <w:vAlign w:val="top"/>
          </w:tcPr>
          <w:p>
            <w:pPr>
              <w:jc w:val="center"/>
              <w:rPr>
                <w:rFonts w:hint="eastAsia" w:asciiTheme="minorHAnsi" w:hAnsiTheme="minorHAnsi" w:eastAsiaTheme="minorEastAsia" w:cstheme="minorBidi"/>
                <w:vertAlign w:val="baseline"/>
                <w:lang w:val="en-US" w:eastAsia="zh-CN"/>
              </w:rPr>
            </w:pP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2/3</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考查</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04030543</w:t>
            </w:r>
          </w:p>
        </w:tc>
        <w:tc>
          <w:tcPr>
            <w:tcW w:w="1727"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财经大数据A</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48</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3</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24</w:t>
            </w:r>
          </w:p>
        </w:tc>
        <w:tc>
          <w:tcPr>
            <w:tcW w:w="59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w:t>
            </w:r>
          </w:p>
        </w:tc>
        <w:tc>
          <w:tcPr>
            <w:tcW w:w="670"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24</w:t>
            </w:r>
          </w:p>
        </w:tc>
        <w:tc>
          <w:tcPr>
            <w:tcW w:w="658"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w:t>
            </w: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4</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考查</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04030533</w:t>
            </w:r>
          </w:p>
        </w:tc>
        <w:tc>
          <w:tcPr>
            <w:tcW w:w="1727" w:type="dxa"/>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财经大数据B</w:t>
            </w:r>
          </w:p>
        </w:tc>
        <w:tc>
          <w:tcPr>
            <w:tcW w:w="475"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32</w:t>
            </w:r>
          </w:p>
        </w:tc>
        <w:tc>
          <w:tcPr>
            <w:tcW w:w="31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2</w:t>
            </w:r>
          </w:p>
        </w:tc>
        <w:tc>
          <w:tcPr>
            <w:tcW w:w="46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16</w:t>
            </w:r>
          </w:p>
        </w:tc>
        <w:tc>
          <w:tcPr>
            <w:tcW w:w="593"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w:t>
            </w:r>
          </w:p>
        </w:tc>
        <w:tc>
          <w:tcPr>
            <w:tcW w:w="670"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16</w:t>
            </w:r>
          </w:p>
        </w:tc>
        <w:tc>
          <w:tcPr>
            <w:tcW w:w="658"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w:t>
            </w:r>
          </w:p>
        </w:tc>
        <w:tc>
          <w:tcPr>
            <w:tcW w:w="604" w:type="dxa"/>
            <w:vAlign w:val="top"/>
          </w:tcPr>
          <w:p>
            <w:pPr>
              <w:jc w:val="cente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4</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考查</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05010583</w:t>
            </w:r>
          </w:p>
        </w:tc>
        <w:tc>
          <w:tcPr>
            <w:tcW w:w="1727"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经济法A</w:t>
            </w:r>
          </w:p>
        </w:tc>
        <w:tc>
          <w:tcPr>
            <w:tcW w:w="475" w:type="dxa"/>
            <w:vAlign w:val="top"/>
          </w:tcPr>
          <w:p>
            <w:pPr>
              <w:jc w:val="center"/>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48</w:t>
            </w:r>
          </w:p>
        </w:tc>
        <w:tc>
          <w:tcPr>
            <w:tcW w:w="313" w:type="dxa"/>
            <w:vAlign w:val="top"/>
          </w:tcPr>
          <w:p>
            <w:pPr>
              <w:jc w:val="center"/>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3</w:t>
            </w:r>
          </w:p>
        </w:tc>
        <w:tc>
          <w:tcPr>
            <w:tcW w:w="464" w:type="dxa"/>
            <w:vAlign w:val="top"/>
          </w:tcPr>
          <w:p>
            <w:pPr>
              <w:jc w:val="center"/>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48</w:t>
            </w:r>
          </w:p>
        </w:tc>
        <w:tc>
          <w:tcPr>
            <w:tcW w:w="593" w:type="dxa"/>
            <w:vAlign w:val="top"/>
          </w:tcPr>
          <w:p>
            <w:pPr>
              <w:jc w:val="center"/>
              <w:rPr>
                <w:rFonts w:hint="eastAsia" w:asciiTheme="minorHAnsi" w:hAnsiTheme="minorHAnsi" w:eastAsiaTheme="minorEastAsia" w:cstheme="minorBidi"/>
                <w:lang w:val="en-US" w:eastAsia="zh-CN"/>
              </w:rPr>
            </w:pPr>
          </w:p>
        </w:tc>
        <w:tc>
          <w:tcPr>
            <w:tcW w:w="670" w:type="dxa"/>
            <w:vAlign w:val="top"/>
          </w:tcPr>
          <w:p>
            <w:pPr>
              <w:jc w:val="center"/>
              <w:rPr>
                <w:rFonts w:hint="eastAsia" w:asciiTheme="minorHAnsi" w:hAnsiTheme="minorHAnsi" w:eastAsiaTheme="minorEastAsia" w:cstheme="minorBidi"/>
                <w:lang w:val="en-US" w:eastAsia="zh-CN"/>
              </w:rPr>
            </w:pPr>
          </w:p>
        </w:tc>
        <w:tc>
          <w:tcPr>
            <w:tcW w:w="658" w:type="dxa"/>
            <w:vAlign w:val="top"/>
          </w:tcPr>
          <w:p>
            <w:pPr>
              <w:jc w:val="center"/>
              <w:rPr>
                <w:rFonts w:hint="eastAsia" w:asciiTheme="minorHAnsi" w:hAnsiTheme="minorHAnsi" w:eastAsiaTheme="minorEastAsia" w:cstheme="minorBidi"/>
                <w:lang w:val="en-US" w:eastAsia="zh-CN"/>
              </w:rPr>
            </w:pPr>
          </w:p>
        </w:tc>
        <w:tc>
          <w:tcPr>
            <w:tcW w:w="604" w:type="dxa"/>
            <w:vAlign w:val="top"/>
          </w:tcPr>
          <w:p>
            <w:pPr>
              <w:jc w:val="center"/>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3-6</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sz w:val="18"/>
                <w:szCs w:val="18"/>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9"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05010593</w:t>
            </w:r>
          </w:p>
        </w:tc>
        <w:tc>
          <w:tcPr>
            <w:tcW w:w="1727" w:type="dxa"/>
          </w:tcPr>
          <w:p>
            <w:pPr>
              <w:rPr>
                <w:rFonts w:hint="default" w:asciiTheme="minorHAnsi" w:hAnsiTheme="minorHAnsi" w:eastAsiaTheme="minorEastAsia" w:cstheme="minorBidi"/>
                <w:vertAlign w:val="baseline"/>
                <w:lang w:val="en-US" w:eastAsia="zh-CN"/>
              </w:rPr>
            </w:pPr>
            <w:r>
              <w:rPr>
                <w:rFonts w:hint="eastAsia" w:asciiTheme="minorHAnsi" w:hAnsiTheme="minorHAnsi" w:eastAsiaTheme="minorEastAsia" w:cstheme="minorBidi"/>
                <w:vertAlign w:val="baseline"/>
                <w:lang w:val="en-US" w:eastAsia="zh-CN"/>
              </w:rPr>
              <w:t>经济法B</w:t>
            </w:r>
          </w:p>
        </w:tc>
        <w:tc>
          <w:tcPr>
            <w:tcW w:w="475" w:type="dxa"/>
            <w:vAlign w:val="top"/>
          </w:tcPr>
          <w:p>
            <w:pPr>
              <w:jc w:val="center"/>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32</w:t>
            </w:r>
          </w:p>
        </w:tc>
        <w:tc>
          <w:tcPr>
            <w:tcW w:w="313" w:type="dxa"/>
            <w:vAlign w:val="top"/>
          </w:tcPr>
          <w:p>
            <w:pPr>
              <w:jc w:val="center"/>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2</w:t>
            </w:r>
          </w:p>
        </w:tc>
        <w:tc>
          <w:tcPr>
            <w:tcW w:w="464" w:type="dxa"/>
            <w:vAlign w:val="top"/>
          </w:tcPr>
          <w:p>
            <w:pPr>
              <w:jc w:val="center"/>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32</w:t>
            </w:r>
          </w:p>
        </w:tc>
        <w:tc>
          <w:tcPr>
            <w:tcW w:w="593" w:type="dxa"/>
            <w:vAlign w:val="top"/>
          </w:tcPr>
          <w:p>
            <w:pPr>
              <w:jc w:val="center"/>
              <w:rPr>
                <w:rFonts w:hint="eastAsia" w:asciiTheme="minorHAnsi" w:hAnsiTheme="minorHAnsi" w:eastAsiaTheme="minorEastAsia" w:cstheme="minorBidi"/>
                <w:lang w:val="en-US" w:eastAsia="zh-CN"/>
              </w:rPr>
            </w:pPr>
          </w:p>
        </w:tc>
        <w:tc>
          <w:tcPr>
            <w:tcW w:w="670" w:type="dxa"/>
            <w:vAlign w:val="top"/>
          </w:tcPr>
          <w:p>
            <w:pPr>
              <w:jc w:val="center"/>
              <w:rPr>
                <w:rFonts w:hint="eastAsia" w:asciiTheme="minorHAnsi" w:hAnsiTheme="minorHAnsi" w:eastAsiaTheme="minorEastAsia" w:cstheme="minorBidi"/>
                <w:lang w:val="en-US" w:eastAsia="zh-CN"/>
              </w:rPr>
            </w:pPr>
          </w:p>
        </w:tc>
        <w:tc>
          <w:tcPr>
            <w:tcW w:w="658" w:type="dxa"/>
            <w:vAlign w:val="top"/>
          </w:tcPr>
          <w:p>
            <w:pPr>
              <w:jc w:val="center"/>
              <w:rPr>
                <w:rFonts w:hint="eastAsia" w:asciiTheme="minorHAnsi" w:hAnsiTheme="minorHAnsi" w:eastAsiaTheme="minorEastAsia" w:cstheme="minorBidi"/>
                <w:lang w:val="en-US" w:eastAsia="zh-CN"/>
              </w:rPr>
            </w:pPr>
          </w:p>
        </w:tc>
        <w:tc>
          <w:tcPr>
            <w:tcW w:w="604" w:type="dxa"/>
            <w:vAlign w:val="top"/>
          </w:tcPr>
          <w:p>
            <w:pPr>
              <w:jc w:val="center"/>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3-6</w:t>
            </w:r>
          </w:p>
        </w:tc>
        <w:tc>
          <w:tcPr>
            <w:tcW w:w="712" w:type="dxa"/>
            <w:vAlign w:val="top"/>
          </w:tcPr>
          <w:p>
            <w:pPr>
              <w:rPr>
                <w:rFonts w:hint="eastAsia" w:asciiTheme="minorHAnsi" w:hAnsiTheme="minorHAnsi" w:eastAsiaTheme="minorEastAsia" w:cstheme="minorBidi"/>
                <w:vertAlign w:val="baseline"/>
                <w:lang w:val="en-US" w:eastAsia="zh-CN"/>
              </w:rPr>
            </w:pPr>
            <w:r>
              <w:rPr>
                <w:rFonts w:hint="eastAsia" w:asciiTheme="minorHAnsi" w:hAnsiTheme="minorHAnsi" w:eastAsiaTheme="minorEastAsia" w:cstheme="minorBidi"/>
                <w:sz w:val="18"/>
                <w:szCs w:val="18"/>
                <w:vertAlign w:val="baseline"/>
                <w:lang w:val="en-US" w:eastAsia="zh-CN"/>
              </w:rPr>
              <w:t>考试</w:t>
            </w:r>
          </w:p>
        </w:tc>
        <w:tc>
          <w:tcPr>
            <w:tcW w:w="1090" w:type="dxa"/>
            <w:vMerge w:val="continue"/>
          </w:tcPr>
          <w:p>
            <w:pPr>
              <w:rPr>
                <w:rFonts w:hint="eastAsia" w:asciiTheme="minorHAnsi" w:hAnsiTheme="minorHAnsi" w:eastAsiaTheme="minorEastAsia" w:cstheme="minorBidi"/>
                <w:vertAlign w:val="baseline"/>
                <w:lang w:val="en-US" w:eastAsia="zh-CN"/>
              </w:rPr>
            </w:pPr>
          </w:p>
        </w:tc>
        <w:tc>
          <w:tcPr>
            <w:tcW w:w="1295" w:type="dxa"/>
            <w:vMerge w:val="continue"/>
          </w:tcPr>
          <w:p>
            <w:pPr>
              <w:rPr>
                <w:rFonts w:hint="eastAsia" w:asciiTheme="minorHAnsi" w:hAnsiTheme="minorHAnsi" w:eastAsiaTheme="minorEastAsia" w:cstheme="minorBidi"/>
                <w:vertAlign w:val="baseline"/>
                <w:lang w:val="en-US" w:eastAsia="zh-CN"/>
              </w:rPr>
            </w:pPr>
          </w:p>
        </w:tc>
      </w:tr>
    </w:tbl>
    <w:p>
      <w:pPr>
        <w:numPr>
          <w:ilvl w:val="0"/>
          <w:numId w:val="0"/>
        </w:numPr>
        <w:rPr>
          <w:rFonts w:hint="eastAsia" w:asciiTheme="minorHAnsi" w:hAnsiTheme="minorHAnsi" w:eastAsiaTheme="minorEastAsia" w:cstheme="minorBidi"/>
          <w:lang w:val="en-US" w:eastAsia="zh-CN"/>
        </w:rPr>
      </w:pPr>
    </w:p>
    <w:p>
      <w:pPr>
        <w:numPr>
          <w:ilvl w:val="0"/>
          <w:numId w:val="0"/>
        </w:numPr>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说明：</w:t>
      </w:r>
    </w:p>
    <w:p>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关于《政治经济学》《微观经济学》《宏观经济学》《计量经济学》课程，建议经济学类专业、国贸（厚生班）与财政学（厚生班）开设64课时，经济学院、财政金融学院其他专业及工商管理学院开设48课时，其他学院开设32课时。</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textAlignment w:val="auto"/>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建议经管类的专业和学院，经济学院、财金学院、工商管理学院等，开设《国际经济学》课程（前期开设西方经济学）。</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420" w:firstLineChars="200"/>
        <w:textAlignment w:val="auto"/>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技术经济学》按学院分两个学期设置：第3学期的学院有经济学院、信息技术与管理学院、外国语学院、法学与公共管理学院、工程管理学院、数学与统计学院、人文与艺术学院、体育学院；第4学期开设的学院有会计学院、财政金融学院、工商管理学院、厚生国际教育学院、马克思主义学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4.《管理学》《管理学原理》按学院分两个学期设置：第1学期开设的学院有财政金融学院、经济学院、工商管理学院、厚生国际教育学院；第2学期开设的学院有：会计学院、人文与艺术学院、数学与统计学院、外国语学院、体育学院、法学与公共管理学院、信息技术与管理学院、工程管理学院、马克思主义学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5.《统计学》《统计学原理》按学院分两个学期设置：第3学期开设的学院有财政金融学院、经济学院、工商管理学院、厚生国际教育学院；第4学期开设的学院有：会计学院、人文与艺术学院、数学与统计学院、外国语学院、体育学院、法学与公共管理学院、信息技术与管理学院、工程管理学院、马克思主义学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6.《市场营销学》《市场营销学原理》按学院分两个学期设置：第2学期开设的学院有财政金融学院、经济学院、工商管理学院、厚生国际教育学院；第3学期开设的学院有：会计学院、人文与艺术学院、数学与统计学院、外国语学院、体育学院、法学与公共管理学院、信息技术与管理学院、工程管理学院、马克思主义学院。</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7.《经济法A》《经济法B》按学院分两个学期设置：第3学期或第5学期开设的学院有会计学院、人文与艺术学院、数学与统计学院、外国语学院、厚生国际教育学院、体育学院、法学与公共管理学院；第4学期或第6学期开设的学院有财政金融学院、经济学院、工商管理学院、信息技术与管理学院、工程管理学院、马克思主义学院。</w:t>
      </w:r>
    </w:p>
    <w:p>
      <w:pPr>
        <w:widowControl w:val="0"/>
        <w:numPr>
          <w:ilvl w:val="0"/>
          <w:numId w:val="0"/>
        </w:numPr>
        <w:jc w:val="both"/>
        <w:rPr>
          <w:rFonts w:hint="eastAsia" w:ascii="宋体" w:hAnsi="宋体" w:cs="宋体"/>
          <w:color w:val="000000" w:themeColor="text1"/>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adjustRightInd w:val="0"/>
        <w:snapToGrid w:val="0"/>
        <w:spacing w:line="360" w:lineRule="auto"/>
        <w:jc w:val="center"/>
        <w:rPr>
          <w:rFonts w:hint="eastAsia" w:ascii="宋体" w:hAnsi="宋体"/>
          <w:b/>
          <w:sz w:val="24"/>
          <w:szCs w:val="22"/>
          <w:lang w:eastAsia="zh-CN"/>
        </w:rPr>
      </w:pPr>
    </w:p>
    <w:p>
      <w:pPr>
        <w:adjustRightInd w:val="0"/>
        <w:snapToGrid w:val="0"/>
        <w:spacing w:line="360" w:lineRule="auto"/>
        <w:jc w:val="center"/>
        <w:rPr>
          <w:rFonts w:hint="eastAsia" w:ascii="宋体" w:hAnsi="宋体"/>
          <w:b/>
          <w:sz w:val="24"/>
          <w:szCs w:val="22"/>
          <w:lang w:eastAsia="zh-CN"/>
        </w:rPr>
      </w:pPr>
    </w:p>
    <w:p>
      <w:pPr>
        <w:adjustRightInd w:val="0"/>
        <w:snapToGrid w:val="0"/>
        <w:spacing w:line="360" w:lineRule="auto"/>
        <w:jc w:val="center"/>
        <w:rPr>
          <w:rFonts w:hint="eastAsia" w:ascii="宋体" w:hAnsi="宋体"/>
          <w:b/>
          <w:sz w:val="24"/>
          <w:szCs w:val="22"/>
          <w:lang w:eastAsia="zh-CN"/>
        </w:rPr>
      </w:pPr>
    </w:p>
    <w:p>
      <w:pPr>
        <w:adjustRightInd w:val="0"/>
        <w:snapToGrid w:val="0"/>
        <w:spacing w:line="360" w:lineRule="auto"/>
        <w:jc w:val="center"/>
        <w:rPr>
          <w:rFonts w:hint="eastAsia" w:ascii="宋体" w:hAnsi="宋体"/>
          <w:b/>
          <w:sz w:val="24"/>
          <w:szCs w:val="22"/>
          <w:lang w:eastAsia="zh-CN"/>
        </w:rPr>
      </w:pPr>
    </w:p>
    <w:p>
      <w:pPr>
        <w:adjustRightInd w:val="0"/>
        <w:snapToGrid w:val="0"/>
        <w:spacing w:line="360" w:lineRule="auto"/>
        <w:jc w:val="center"/>
        <w:rPr>
          <w:rFonts w:hint="eastAsia" w:ascii="宋体" w:hAnsi="宋体"/>
          <w:b/>
          <w:sz w:val="24"/>
          <w:szCs w:val="22"/>
          <w:lang w:eastAsia="zh-CN"/>
        </w:rPr>
      </w:pPr>
    </w:p>
    <w:p>
      <w:pPr>
        <w:adjustRightInd w:val="0"/>
        <w:snapToGrid w:val="0"/>
        <w:spacing w:line="360" w:lineRule="auto"/>
        <w:jc w:val="center"/>
        <w:rPr>
          <w:rFonts w:hint="eastAsia" w:ascii="宋体" w:hAnsi="宋体"/>
          <w:b/>
          <w:sz w:val="24"/>
          <w:szCs w:val="22"/>
          <w:lang w:eastAsia="zh-CN"/>
        </w:rPr>
      </w:pPr>
    </w:p>
    <w:p>
      <w:pPr>
        <w:adjustRightInd w:val="0"/>
        <w:snapToGrid w:val="0"/>
        <w:spacing w:line="360" w:lineRule="auto"/>
        <w:jc w:val="center"/>
        <w:rPr>
          <w:rFonts w:hint="eastAsia" w:ascii="宋体" w:hAnsi="宋体"/>
          <w:b/>
          <w:sz w:val="24"/>
          <w:szCs w:val="22"/>
          <w:lang w:eastAsia="zh-CN"/>
        </w:rPr>
      </w:pPr>
    </w:p>
    <w:p>
      <w:pPr>
        <w:adjustRightInd w:val="0"/>
        <w:snapToGrid w:val="0"/>
        <w:spacing w:line="360" w:lineRule="auto"/>
        <w:jc w:val="center"/>
        <w:rPr>
          <w:rFonts w:hint="eastAsia" w:ascii="宋体" w:hAnsi="宋体"/>
          <w:b/>
          <w:sz w:val="24"/>
          <w:szCs w:val="22"/>
          <w:lang w:eastAsia="zh-CN"/>
        </w:rPr>
      </w:pPr>
    </w:p>
    <w:p>
      <w:pPr>
        <w:adjustRightInd w:val="0"/>
        <w:snapToGrid w:val="0"/>
        <w:spacing w:line="360" w:lineRule="auto"/>
        <w:jc w:val="center"/>
        <w:rPr>
          <w:rFonts w:hint="eastAsia" w:ascii="宋体" w:hAnsi="宋体"/>
          <w:b/>
          <w:sz w:val="24"/>
          <w:szCs w:val="22"/>
          <w:lang w:eastAsia="zh-CN"/>
        </w:rPr>
      </w:pPr>
    </w:p>
    <w:p>
      <w:pPr>
        <w:adjustRightInd w:val="0"/>
        <w:snapToGrid w:val="0"/>
        <w:spacing w:line="360" w:lineRule="auto"/>
        <w:jc w:val="center"/>
        <w:rPr>
          <w:rFonts w:hint="eastAsia" w:ascii="宋体" w:hAnsi="宋体"/>
          <w:b/>
          <w:sz w:val="24"/>
          <w:szCs w:val="22"/>
          <w:lang w:eastAsia="zh-CN"/>
        </w:rPr>
      </w:pPr>
    </w:p>
    <w:p>
      <w:pPr>
        <w:adjustRightInd w:val="0"/>
        <w:snapToGrid w:val="0"/>
        <w:spacing w:line="360" w:lineRule="auto"/>
        <w:jc w:val="center"/>
        <w:rPr>
          <w:rFonts w:hint="eastAsia" w:ascii="宋体" w:hAnsi="宋体"/>
          <w:b/>
          <w:sz w:val="24"/>
          <w:szCs w:val="22"/>
          <w:lang w:eastAsia="zh-CN"/>
        </w:rPr>
      </w:pPr>
    </w:p>
    <w:p>
      <w:pPr>
        <w:adjustRightInd w:val="0"/>
        <w:snapToGrid w:val="0"/>
        <w:spacing w:line="360" w:lineRule="auto"/>
        <w:jc w:val="center"/>
        <w:rPr>
          <w:rFonts w:ascii="宋体" w:hAnsi="Calibri"/>
          <w:b/>
          <w:sz w:val="24"/>
          <w:szCs w:val="22"/>
        </w:rPr>
      </w:pPr>
      <w:r>
        <w:rPr>
          <w:rFonts w:hint="eastAsia" w:ascii="宋体" w:hAnsi="宋体"/>
          <w:b/>
          <w:sz w:val="24"/>
          <w:szCs w:val="22"/>
          <w:lang w:eastAsia="zh-CN"/>
        </w:rPr>
        <w:t>表</w:t>
      </w:r>
      <w:r>
        <w:rPr>
          <w:rFonts w:hint="eastAsia" w:ascii="宋体" w:hAnsi="宋体"/>
          <w:b/>
          <w:sz w:val="24"/>
          <w:szCs w:val="22"/>
          <w:lang w:val="en-US" w:eastAsia="zh-CN"/>
        </w:rPr>
        <w:t>4：</w:t>
      </w:r>
      <w:r>
        <w:rPr>
          <w:rFonts w:hint="eastAsia" w:ascii="宋体" w:hAnsi="宋体"/>
          <w:b/>
          <w:sz w:val="24"/>
          <w:szCs w:val="22"/>
        </w:rPr>
        <w:t>全校统一开设的</w:t>
      </w:r>
      <w:r>
        <w:rPr>
          <w:rFonts w:hint="eastAsia" w:ascii="宋体" w:hAnsi="宋体"/>
          <w:b/>
          <w:sz w:val="24"/>
          <w:szCs w:val="22"/>
          <w:lang w:eastAsia="zh-CN"/>
        </w:rPr>
        <w:t>集中实践课及</w:t>
      </w:r>
      <w:r>
        <w:rPr>
          <w:rFonts w:hint="eastAsia" w:ascii="宋体" w:hAnsi="宋体"/>
          <w:b/>
          <w:sz w:val="24"/>
          <w:szCs w:val="22"/>
        </w:rPr>
        <w:t>学分结构</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3"/>
        <w:gridCol w:w="2126"/>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hint="eastAsia" w:ascii="Calibri" w:hAnsi="Calibri"/>
                <w:sz w:val="24"/>
                <w:szCs w:val="24"/>
              </w:rPr>
              <w:t>实践课程</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Calibri" w:hAnsi="Calibri"/>
                <w:sz w:val="24"/>
                <w:szCs w:val="24"/>
              </w:rPr>
            </w:pPr>
            <w:r>
              <w:rPr>
                <w:rFonts w:hint="eastAsia" w:ascii="Calibri" w:hAnsi="Calibri"/>
                <w:sz w:val="24"/>
                <w:szCs w:val="24"/>
              </w:rPr>
              <w:t>学分数（分）</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Calibri" w:hAnsi="Calibri"/>
                <w:sz w:val="24"/>
                <w:szCs w:val="24"/>
              </w:rPr>
            </w:pPr>
            <w:r>
              <w:rPr>
                <w:rFonts w:hint="eastAsia" w:ascii="Calibri" w:hAnsi="Calibri"/>
                <w:sz w:val="24"/>
                <w:szCs w:val="24"/>
              </w:rPr>
              <w:t>实践学时</w:t>
            </w:r>
            <w:r>
              <w:rPr>
                <w:rFonts w:ascii="Calibri" w:hAnsi="Calibri"/>
                <w:sz w:val="24"/>
                <w:szCs w:val="24"/>
              </w:rPr>
              <w:t>/</w:t>
            </w:r>
            <w:r>
              <w:rPr>
                <w:rFonts w:hint="eastAsia" w:ascii="Calibri" w:hAnsi="Calibri"/>
                <w:sz w:val="24"/>
                <w:szCs w:val="24"/>
              </w:rPr>
              <w:t>学周数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hint="eastAsia" w:ascii="Calibri" w:hAnsi="Calibri"/>
                <w:sz w:val="24"/>
                <w:szCs w:val="24"/>
              </w:rPr>
              <w:t>大学生就业指导</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1</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20</w:t>
            </w:r>
            <w:r>
              <w:rPr>
                <w:rFonts w:hint="eastAsia" w:ascii="Calibri" w:hAnsi="Calibri"/>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hint="eastAsia" w:ascii="Calibri" w:hAnsi="Calibri"/>
                <w:sz w:val="24"/>
                <w:szCs w:val="24"/>
              </w:rPr>
              <w:t>军事训练</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2</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2</w:t>
            </w:r>
            <w:r>
              <w:rPr>
                <w:rFonts w:hint="eastAsia" w:ascii="Calibri" w:hAnsi="Calibri"/>
                <w:sz w:val="24"/>
                <w:szCs w:val="24"/>
              </w:rPr>
              <w:t>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hint="eastAsia" w:ascii="Calibri" w:hAnsi="Calibri"/>
                <w:sz w:val="24"/>
                <w:szCs w:val="24"/>
              </w:rPr>
              <w:t>劳动教育</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1</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Calibri" w:hAnsi="Calibri" w:eastAsia="宋体"/>
                <w:sz w:val="24"/>
                <w:szCs w:val="24"/>
                <w:lang w:val="en-US" w:eastAsia="zh-CN"/>
              </w:rPr>
            </w:pPr>
            <w:r>
              <w:rPr>
                <w:rFonts w:hint="eastAsia" w:ascii="Calibri" w:hAnsi="Calibri"/>
                <w:sz w:val="24"/>
                <w:szCs w:val="24"/>
                <w:lang w:val="en-US" w:eastAsia="zh-CN"/>
              </w:rPr>
              <w:t>32</w:t>
            </w:r>
            <w:r>
              <w:rPr>
                <w:rFonts w:hint="eastAsia" w:ascii="Calibri" w:hAnsi="Calibri"/>
                <w:sz w:val="24"/>
                <w:szCs w:val="24"/>
              </w:rPr>
              <w:t>学时</w:t>
            </w:r>
            <w:r>
              <w:rPr>
                <w:rFonts w:hint="eastAsia" w:ascii="Calibri" w:hAnsi="Calibri"/>
                <w:sz w:val="24"/>
                <w:szCs w:val="24"/>
                <w:lang w:eastAsia="zh-CN"/>
              </w:rPr>
              <w:t>（含</w:t>
            </w:r>
            <w:r>
              <w:rPr>
                <w:rFonts w:hint="eastAsia" w:ascii="Calibri" w:hAnsi="Calibri"/>
                <w:sz w:val="24"/>
                <w:szCs w:val="24"/>
                <w:lang w:val="en-US" w:eastAsia="zh-CN"/>
              </w:rPr>
              <w:t>4课时理论讲授）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hint="eastAsia" w:ascii="Calibri" w:hAnsi="Calibri"/>
                <w:sz w:val="24"/>
                <w:szCs w:val="24"/>
              </w:rPr>
              <w:t>专业学习导论（含专业认识实习）</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0.5</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1</w:t>
            </w:r>
            <w:r>
              <w:rPr>
                <w:rFonts w:hint="eastAsia" w:ascii="Calibri" w:hAnsi="Calibri"/>
                <w:sz w:val="24"/>
                <w:szCs w:val="24"/>
              </w:rPr>
              <w:t>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hint="eastAsia" w:ascii="Calibri" w:hAnsi="Calibri"/>
                <w:sz w:val="24"/>
                <w:szCs w:val="24"/>
              </w:rPr>
              <w:t>专业实习</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2</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4</w:t>
            </w:r>
            <w:r>
              <w:rPr>
                <w:rFonts w:hint="eastAsia" w:ascii="Calibri" w:hAnsi="Calibri"/>
                <w:sz w:val="24"/>
                <w:szCs w:val="24"/>
              </w:rPr>
              <w:t>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hint="eastAsia" w:ascii="Calibri" w:hAnsi="Calibri"/>
                <w:sz w:val="24"/>
                <w:szCs w:val="24"/>
              </w:rPr>
              <w:t>毕业实习</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4</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8</w:t>
            </w:r>
            <w:r>
              <w:rPr>
                <w:rFonts w:hint="eastAsia" w:ascii="Calibri" w:hAnsi="Calibri"/>
                <w:sz w:val="24"/>
                <w:szCs w:val="24"/>
              </w:rPr>
              <w:t>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hint="eastAsia" w:ascii="Calibri" w:hAnsi="Calibri"/>
                <w:sz w:val="24"/>
                <w:szCs w:val="24"/>
              </w:rPr>
              <w:t>学年论文</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2</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4</w:t>
            </w:r>
            <w:r>
              <w:rPr>
                <w:rFonts w:hint="eastAsia" w:ascii="Calibri" w:hAnsi="Calibri"/>
                <w:sz w:val="24"/>
                <w:szCs w:val="24"/>
              </w:rPr>
              <w:t>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hint="eastAsia" w:ascii="Calibri" w:hAnsi="Calibri"/>
                <w:sz w:val="24"/>
                <w:szCs w:val="24"/>
              </w:rPr>
              <w:t>毕业论文（设计）</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8</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16</w:t>
            </w:r>
            <w:r>
              <w:rPr>
                <w:rFonts w:hint="eastAsia" w:ascii="Calibri" w:hAnsi="Calibri"/>
                <w:sz w:val="24"/>
                <w:szCs w:val="24"/>
              </w:rPr>
              <w:t>学周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2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hint="eastAsia" w:ascii="Calibri" w:hAnsi="Calibri"/>
                <w:sz w:val="24"/>
                <w:szCs w:val="24"/>
              </w:rPr>
              <w:t>合计</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ascii="Calibri" w:hAnsi="Calibri"/>
                <w:sz w:val="24"/>
                <w:szCs w:val="24"/>
              </w:rPr>
              <w:t>20.5</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Calibri" w:hAnsi="Calibri"/>
                <w:sz w:val="24"/>
                <w:szCs w:val="24"/>
              </w:rPr>
            </w:pPr>
            <w:r>
              <w:rPr>
                <w:rFonts w:hint="eastAsia" w:ascii="Calibri" w:hAnsi="Calibri"/>
                <w:sz w:val="24"/>
                <w:szCs w:val="24"/>
                <w:lang w:val="en-US" w:eastAsia="zh-CN"/>
              </w:rPr>
              <w:t>52</w:t>
            </w:r>
            <w:r>
              <w:rPr>
                <w:rFonts w:hint="eastAsia" w:ascii="Calibri" w:hAnsi="Calibri"/>
                <w:sz w:val="24"/>
                <w:szCs w:val="24"/>
              </w:rPr>
              <w:t>学时</w:t>
            </w:r>
            <w:r>
              <w:rPr>
                <w:rFonts w:ascii="Calibri" w:hAnsi="Calibri"/>
                <w:sz w:val="24"/>
                <w:szCs w:val="24"/>
              </w:rPr>
              <w:t>+35</w:t>
            </w:r>
            <w:r>
              <w:rPr>
                <w:rFonts w:hint="eastAsia" w:ascii="Calibri" w:hAnsi="Calibri"/>
                <w:sz w:val="24"/>
                <w:szCs w:val="24"/>
              </w:rPr>
              <w:t>学周</w:t>
            </w:r>
          </w:p>
        </w:tc>
      </w:tr>
    </w:tbl>
    <w:p>
      <w:pPr>
        <w:spacing w:line="240" w:lineRule="exact"/>
        <w:rPr>
          <w:rFonts w:ascii="Calibri" w:hAnsi="Calibri"/>
          <w:sz w:val="18"/>
          <w:szCs w:val="18"/>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eastAsia" w:ascii="宋体" w:hAnsi="宋体" w:cs="宋体"/>
          <w:b w:val="0"/>
          <w:bCs w:val="0"/>
          <w:color w:val="000000" w:themeColor="text1"/>
          <w:sz w:val="24"/>
          <w:szCs w:val="24"/>
          <w14:textFill>
            <w14:solidFill>
              <w14:schemeClr w14:val="tx1"/>
            </w14:solidFill>
          </w14:textFill>
        </w:rPr>
      </w:pPr>
    </w:p>
    <w:p>
      <w:pPr>
        <w:jc w:val="center"/>
        <w:rPr>
          <w:rFonts w:hint="eastAsia"/>
          <w:b/>
          <w:sz w:val="24"/>
          <w:szCs w:val="24"/>
          <w:lang w:val="en-US" w:eastAsia="zh-CN"/>
        </w:rPr>
      </w:pPr>
    </w:p>
    <w:p>
      <w:pPr>
        <w:jc w:val="center"/>
        <w:rPr>
          <w:b/>
          <w:sz w:val="24"/>
          <w:szCs w:val="24"/>
        </w:rPr>
      </w:pPr>
      <w:r>
        <w:rPr>
          <w:rFonts w:hint="eastAsia"/>
          <w:b/>
          <w:sz w:val="24"/>
          <w:szCs w:val="24"/>
          <w:lang w:val="en-US" w:eastAsia="zh-CN"/>
        </w:rPr>
        <w:t>表5：</w:t>
      </w:r>
      <w:r>
        <w:rPr>
          <w:rFonts w:hint="eastAsia" w:ascii="Times New Roman" w:eastAsia="宋体"/>
          <w:b/>
          <w:sz w:val="24"/>
          <w:szCs w:val="24"/>
          <w:lang w:val="en-US" w:eastAsia="zh-CN"/>
        </w:rPr>
        <w:t>专业人才培养方案校外</w:t>
      </w:r>
      <w:r>
        <w:rPr>
          <w:rFonts w:hint="eastAsia"/>
          <w:b/>
          <w:sz w:val="24"/>
          <w:szCs w:val="24"/>
        </w:rPr>
        <w:t>专业论证意见表</w:t>
      </w:r>
    </w:p>
    <w:p>
      <w:pPr>
        <w:jc w:val="left"/>
        <w:rPr>
          <w:rFonts w:hint="eastAsia"/>
          <w:b/>
          <w:sz w:val="36"/>
          <w:szCs w:val="36"/>
        </w:rPr>
      </w:pPr>
      <w:r>
        <w:rPr>
          <w:rFonts w:hint="eastAsia"/>
          <w:b/>
          <w:sz w:val="24"/>
        </w:rPr>
        <w:t>专业名称</w:t>
      </w:r>
      <w:r>
        <w:rPr>
          <w:rFonts w:hint="eastAsia"/>
          <w:sz w:val="30"/>
          <w:szCs w:val="30"/>
        </w:rPr>
        <w:t>：</w:t>
      </w:r>
    </w:p>
    <w:tbl>
      <w:tblPr>
        <w:tblStyle w:val="4"/>
        <w:tblW w:w="9498" w:type="dxa"/>
        <w:tblInd w:w="-3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417"/>
        <w:gridCol w:w="521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7" w:hRule="atLeast"/>
        </w:trPr>
        <w:tc>
          <w:tcPr>
            <w:tcW w:w="880" w:type="dxa"/>
            <w:shd w:val="clear" w:color="auto" w:fill="auto"/>
            <w:noWrap w:val="0"/>
            <w:vAlign w:val="center"/>
          </w:tcPr>
          <w:p>
            <w:pPr>
              <w:jc w:val="center"/>
              <w:rPr>
                <w:rFonts w:hint="eastAsia"/>
                <w:b/>
                <w:sz w:val="24"/>
              </w:rPr>
            </w:pPr>
            <w:r>
              <w:rPr>
                <w:rFonts w:hint="eastAsia"/>
                <w:b/>
                <w:sz w:val="24"/>
              </w:rPr>
              <w:t>论证意见</w:t>
            </w:r>
          </w:p>
        </w:tc>
        <w:tc>
          <w:tcPr>
            <w:tcW w:w="8618" w:type="dxa"/>
            <w:gridSpan w:val="3"/>
            <w:shd w:val="clear" w:color="auto" w:fill="auto"/>
            <w:noWrap w:val="0"/>
            <w:vAlign w:val="top"/>
          </w:tcPr>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jc w:val="center"/>
              <w:rPr>
                <w:sz w:val="24"/>
              </w:rPr>
            </w:pPr>
          </w:p>
          <w:p>
            <w:pPr>
              <w:jc w:val="center"/>
              <w:rPr>
                <w:sz w:val="24"/>
              </w:rPr>
            </w:pPr>
          </w:p>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498" w:type="dxa"/>
            <w:gridSpan w:val="4"/>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hAnsi="宋体" w:eastAsia="仿宋_GB2312"/>
                <w:b/>
                <w:sz w:val="28"/>
                <w:szCs w:val="28"/>
              </w:rPr>
            </w:pPr>
            <w:r>
              <w:rPr>
                <w:rFonts w:hint="eastAsia" w:ascii="仿宋_GB2312" w:hAnsi="宋体" w:eastAsia="仿宋_GB2312"/>
                <w:b/>
                <w:sz w:val="28"/>
                <w:szCs w:val="28"/>
              </w:rPr>
              <w:t>论证专家签名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b/>
                <w:sz w:val="24"/>
              </w:rPr>
            </w:pPr>
            <w:r>
              <w:rPr>
                <w:rFonts w:hint="eastAsia" w:ascii="Calibri" w:hAnsi="Calibri"/>
                <w:b/>
                <w:sz w:val="24"/>
              </w:rPr>
              <w:t>姓名</w:t>
            </w:r>
          </w:p>
        </w:tc>
        <w:tc>
          <w:tcPr>
            <w:tcW w:w="5216" w:type="dxa"/>
            <w:tcBorders>
              <w:top w:val="single" w:color="auto" w:sz="4" w:space="0"/>
              <w:left w:val="single" w:color="auto" w:sz="4" w:space="0"/>
              <w:bottom w:val="single" w:color="auto" w:sz="4" w:space="0"/>
              <w:right w:val="single" w:color="auto" w:sz="4" w:space="0"/>
            </w:tcBorders>
            <w:noWrap w:val="0"/>
            <w:vAlign w:val="center"/>
          </w:tcPr>
          <w:p>
            <w:pPr>
              <w:jc w:val="center"/>
              <w:rPr>
                <w:b/>
                <w:sz w:val="24"/>
              </w:rPr>
            </w:pPr>
            <w:r>
              <w:rPr>
                <w:rFonts w:hint="eastAsia"/>
                <w:b/>
                <w:sz w:val="24"/>
              </w:rPr>
              <w:t>单位及职务</w:t>
            </w:r>
          </w:p>
        </w:tc>
        <w:tc>
          <w:tcPr>
            <w:tcW w:w="0" w:type="auto"/>
            <w:noWrap w:val="0"/>
            <w:vAlign w:val="center"/>
          </w:tcPr>
          <w:p>
            <w:pPr>
              <w:widowControl/>
              <w:jc w:val="center"/>
              <w:rPr>
                <w:kern w:val="0"/>
                <w:sz w:val="20"/>
                <w:szCs w:val="20"/>
              </w:rPr>
            </w:pPr>
            <w:r>
              <w:rPr>
                <w:rFonts w:hint="eastAsia"/>
                <w:b/>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b/>
                <w:sz w:val="32"/>
                <w:szCs w:val="32"/>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b/>
                <w:sz w:val="32"/>
                <w:szCs w:val="32"/>
              </w:rPr>
            </w:pPr>
          </w:p>
        </w:tc>
        <w:tc>
          <w:tcPr>
            <w:tcW w:w="0" w:type="auto"/>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b/>
                <w:sz w:val="32"/>
                <w:szCs w:val="32"/>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pPr>
              <w:jc w:val="center"/>
              <w:rPr>
                <w:b/>
                <w:sz w:val="32"/>
                <w:szCs w:val="32"/>
              </w:rPr>
            </w:pPr>
          </w:p>
        </w:tc>
        <w:tc>
          <w:tcPr>
            <w:tcW w:w="0" w:type="auto"/>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b/>
                <w:sz w:val="32"/>
                <w:szCs w:val="32"/>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pPr>
              <w:jc w:val="center"/>
              <w:rPr>
                <w:b/>
                <w:sz w:val="32"/>
                <w:szCs w:val="32"/>
              </w:rPr>
            </w:pPr>
          </w:p>
        </w:tc>
        <w:tc>
          <w:tcPr>
            <w:tcW w:w="0" w:type="auto"/>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rFonts w:ascii="仿宋_GB2312" w:hAnsi="宋体" w:eastAsia="仿宋_GB2312"/>
                <w:sz w:val="28"/>
                <w:szCs w:val="28"/>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Calibri" w:hAnsi="Calibri"/>
                <w:b/>
                <w:sz w:val="32"/>
                <w:szCs w:val="32"/>
              </w:rPr>
            </w:pPr>
          </w:p>
        </w:tc>
        <w:tc>
          <w:tcPr>
            <w:tcW w:w="0" w:type="auto"/>
            <w:noWrap w:val="0"/>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297" w:type="dxa"/>
            <w:gridSpan w:val="2"/>
            <w:tcBorders>
              <w:top w:val="single" w:color="auto" w:sz="4" w:space="0"/>
              <w:left w:val="single" w:color="auto" w:sz="4" w:space="0"/>
              <w:bottom w:val="single" w:color="auto" w:sz="4" w:space="0"/>
              <w:right w:val="single" w:color="auto" w:sz="4" w:space="0"/>
            </w:tcBorders>
            <w:noWrap w:val="0"/>
            <w:vAlign w:val="center"/>
          </w:tcPr>
          <w:p>
            <w:pPr>
              <w:jc w:val="left"/>
              <w:rPr>
                <w:b/>
                <w:sz w:val="32"/>
                <w:szCs w:val="32"/>
              </w:rPr>
            </w:pPr>
          </w:p>
        </w:tc>
        <w:tc>
          <w:tcPr>
            <w:tcW w:w="5216" w:type="dxa"/>
            <w:tcBorders>
              <w:top w:val="single" w:color="auto" w:sz="4" w:space="0"/>
              <w:left w:val="single" w:color="auto" w:sz="4" w:space="0"/>
              <w:bottom w:val="single" w:color="auto" w:sz="4" w:space="0"/>
              <w:right w:val="single" w:color="auto" w:sz="4" w:space="0"/>
            </w:tcBorders>
            <w:noWrap w:val="0"/>
            <w:vAlign w:val="center"/>
          </w:tcPr>
          <w:p>
            <w:pPr>
              <w:jc w:val="center"/>
              <w:rPr>
                <w:b/>
                <w:sz w:val="32"/>
                <w:szCs w:val="32"/>
              </w:rPr>
            </w:pPr>
          </w:p>
        </w:tc>
        <w:tc>
          <w:tcPr>
            <w:tcW w:w="0" w:type="auto"/>
            <w:noWrap w:val="0"/>
            <w:vAlign w:val="center"/>
          </w:tcPr>
          <w:p>
            <w:pPr>
              <w:widowControl/>
              <w:jc w:val="left"/>
              <w:rPr>
                <w:kern w:val="0"/>
                <w:sz w:val="20"/>
                <w:szCs w:val="20"/>
              </w:rPr>
            </w:pPr>
          </w:p>
        </w:tc>
      </w:tr>
    </w:tbl>
    <w:p>
      <w:r>
        <w:rPr>
          <w:rFonts w:hint="eastAsia"/>
          <w:sz w:val="24"/>
        </w:rPr>
        <w:t>注：可另附页。</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eastAsia="zh-CN"/>
          <w14:textFill>
            <w14:solidFill>
              <w14:schemeClr w14:val="tx1"/>
            </w14:solidFill>
          </w14:textFill>
        </w:rPr>
        <w:t>表</w:t>
      </w:r>
      <w:r>
        <w:rPr>
          <w:rFonts w:hint="eastAsia" w:ascii="宋体" w:hAnsi="宋体" w:cs="宋体"/>
          <w:b/>
          <w:bCs/>
          <w:color w:val="000000" w:themeColor="text1"/>
          <w:sz w:val="24"/>
          <w:szCs w:val="24"/>
          <w:lang w:val="en-US" w:eastAsia="zh-CN"/>
          <w14:textFill>
            <w14:solidFill>
              <w14:schemeClr w14:val="tx1"/>
            </w14:solidFill>
          </w14:textFill>
        </w:rPr>
        <w:t>6：XX专业主要课程介绍</w:t>
      </w:r>
    </w:p>
    <w:tbl>
      <w:tblPr>
        <w:tblStyle w:val="5"/>
        <w:tblW w:w="9399" w:type="dxa"/>
        <w:tblInd w:w="-3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4737"/>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宋体" w:cs="宋体"/>
                <w:b w:val="0"/>
                <w:bCs w:val="0"/>
                <w:color w:val="000000" w:themeColor="text1"/>
                <w:sz w:val="18"/>
                <w:szCs w:val="18"/>
                <w:vertAlign w:val="baseline"/>
                <w:lang w:val="en-US" w:eastAsia="zh-CN"/>
                <w14:textFill>
                  <w14:solidFill>
                    <w14:schemeClr w14:val="tx1"/>
                  </w14:solidFill>
                </w14:textFill>
              </w:rPr>
            </w:pPr>
            <w:r>
              <w:rPr>
                <w:rFonts w:hint="eastAsia" w:ascii="宋体" w:hAnsi="宋体" w:cs="宋体"/>
                <w:b w:val="0"/>
                <w:bCs w:val="0"/>
                <w:color w:val="000000" w:themeColor="text1"/>
                <w:sz w:val="18"/>
                <w:szCs w:val="18"/>
                <w:vertAlign w:val="baseline"/>
                <w:lang w:val="en-US" w:eastAsia="zh-CN"/>
                <w14:textFill>
                  <w14:solidFill>
                    <w14:schemeClr w14:val="tx1"/>
                  </w14:solidFill>
                </w14:textFill>
              </w:rPr>
              <w:t>课程名称</w:t>
            </w:r>
          </w:p>
        </w:tc>
        <w:tc>
          <w:tcPr>
            <w:tcW w:w="4737"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b w:val="0"/>
                <w:bCs w:val="0"/>
                <w:color w:val="000000" w:themeColor="text1"/>
                <w:sz w:val="18"/>
                <w:szCs w:val="18"/>
                <w:vertAlign w:val="baseline"/>
                <w:lang w:val="en-US" w:eastAsia="zh-CN"/>
                <w14:textFill>
                  <w14:solidFill>
                    <w14:schemeClr w14:val="tx1"/>
                  </w14:solidFill>
                </w14:textFill>
              </w:rPr>
            </w:pPr>
            <w:r>
              <w:rPr>
                <w:rFonts w:hint="default" w:ascii="宋体" w:hAnsi="宋体" w:cs="宋体"/>
                <w:b w:val="0"/>
                <w:bCs w:val="0"/>
                <w:color w:val="000000" w:themeColor="text1"/>
                <w:sz w:val="18"/>
                <w:szCs w:val="18"/>
                <w:vertAlign w:val="baseline"/>
                <w:lang w:val="en-US" w:eastAsia="zh-CN"/>
                <w14:textFill>
                  <w14:solidFill>
                    <w14:schemeClr w14:val="tx1"/>
                  </w14:solidFill>
                </w14:textFill>
              </w:rPr>
              <w:t>课程介绍(</w:t>
            </w:r>
            <w:r>
              <w:rPr>
                <w:rFonts w:hint="eastAsia" w:ascii="宋体" w:hAnsi="宋体" w:cs="宋体"/>
                <w:b w:val="0"/>
                <w:bCs w:val="0"/>
                <w:color w:val="000000" w:themeColor="text1"/>
                <w:sz w:val="18"/>
                <w:szCs w:val="18"/>
                <w:vertAlign w:val="baseline"/>
                <w:lang w:val="en-US" w:eastAsia="zh-CN"/>
                <w14:textFill>
                  <w14:solidFill>
                    <w14:schemeClr w14:val="tx1"/>
                  </w14:solidFill>
                </w14:textFill>
              </w:rPr>
              <w:t>中文，</w:t>
            </w:r>
            <w:r>
              <w:rPr>
                <w:rFonts w:hint="default" w:ascii="宋体" w:hAnsi="宋体" w:cs="宋体"/>
                <w:b w:val="0"/>
                <w:bCs w:val="0"/>
                <w:color w:val="000000" w:themeColor="text1"/>
                <w:sz w:val="18"/>
                <w:szCs w:val="18"/>
                <w:vertAlign w:val="baseline"/>
                <w:lang w:val="en-US" w:eastAsia="zh-CN"/>
                <w14:textFill>
                  <w14:solidFill>
                    <w14:schemeClr w14:val="tx1"/>
                  </w14:solidFill>
                </w14:textFill>
              </w:rPr>
              <w:t>不超过200字，主要介绍课程所学内容和学习目标)</w:t>
            </w:r>
          </w:p>
        </w:tc>
        <w:tc>
          <w:tcPr>
            <w:tcW w:w="3572"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宋体" w:hAnsi="宋体" w:cs="宋体"/>
                <w:b w:val="0"/>
                <w:bCs w:val="0"/>
                <w:color w:val="000000" w:themeColor="text1"/>
                <w:sz w:val="18"/>
                <w:szCs w:val="18"/>
                <w:vertAlign w:val="baseline"/>
                <w:lang w:val="en-US" w:eastAsia="zh-CN"/>
                <w14:textFill>
                  <w14:solidFill>
                    <w14:schemeClr w14:val="tx1"/>
                  </w14:solidFill>
                </w14:textFill>
              </w:rPr>
            </w:pPr>
            <w:r>
              <w:rPr>
                <w:rFonts w:hint="default" w:ascii="宋体" w:hAnsi="宋体" w:cs="宋体"/>
                <w:b w:val="0"/>
                <w:bCs w:val="0"/>
                <w:color w:val="000000" w:themeColor="text1"/>
                <w:sz w:val="18"/>
                <w:szCs w:val="18"/>
                <w:vertAlign w:val="baseline"/>
                <w:lang w:val="en-US" w:eastAsia="zh-CN"/>
                <w14:textFill>
                  <w14:solidFill>
                    <w14:schemeClr w14:val="tx1"/>
                  </w14:solidFill>
                </w14:textFill>
              </w:rPr>
              <w:t>对应英文介绍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473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3572"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473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3572"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473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3572"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4737"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c>
          <w:tcPr>
            <w:tcW w:w="3572" w:type="dxa"/>
          </w:tcPr>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宋体" w:hAnsi="宋体" w:cs="宋体"/>
                <w:b w:val="0"/>
                <w:bCs w:val="0"/>
                <w:color w:val="000000" w:themeColor="text1"/>
                <w:sz w:val="24"/>
                <w:szCs w:val="24"/>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lang w:eastAsia="zh-CN"/>
        </w:rPr>
      </w:pPr>
    </w:p>
    <w:p>
      <w:pPr>
        <w:spacing w:before="120" w:beforeLines="50" w:after="120" w:afterLines="50" w:line="288" w:lineRule="auto"/>
        <w:jc w:val="center"/>
        <w:rPr>
          <w:rFonts w:hint="eastAsia" w:ascii="宋体" w:hAnsi="宋体" w:eastAsia="宋体" w:cs="宋体"/>
          <w:b/>
          <w:bCs/>
          <w:color w:val="000000"/>
          <w:sz w:val="24"/>
          <w:szCs w:val="24"/>
        </w:rPr>
      </w:pPr>
      <w:r>
        <w:rPr>
          <w:rFonts w:hint="eastAsia" w:ascii="宋体" w:hAnsi="宋体" w:cs="宋体"/>
          <w:b/>
          <w:bCs/>
          <w:color w:val="000000"/>
          <w:sz w:val="24"/>
          <w:szCs w:val="24"/>
          <w:lang w:eastAsia="zh-CN"/>
        </w:rPr>
        <w:t>表</w:t>
      </w:r>
      <w:r>
        <w:rPr>
          <w:rFonts w:hint="eastAsia" w:ascii="宋体" w:hAnsi="宋体" w:cs="宋体"/>
          <w:b/>
          <w:bCs/>
          <w:color w:val="000000"/>
          <w:sz w:val="24"/>
          <w:szCs w:val="24"/>
          <w:lang w:val="en-US" w:eastAsia="zh-CN"/>
        </w:rPr>
        <w:t>7</w:t>
      </w:r>
      <w:r>
        <w:rPr>
          <w:rFonts w:hint="eastAsia" w:ascii="宋体" w:hAnsi="宋体" w:eastAsia="宋体" w:cs="宋体"/>
          <w:b/>
          <w:bCs/>
          <w:color w:val="000000"/>
          <w:sz w:val="24"/>
          <w:szCs w:val="24"/>
          <w:lang w:val="en-US" w:eastAsia="zh-CN"/>
        </w:rPr>
        <w:t>：</w:t>
      </w:r>
      <w:r>
        <w:rPr>
          <w:rFonts w:hint="eastAsia" w:ascii="宋体" w:hAnsi="宋体" w:eastAsia="宋体" w:cs="宋体"/>
          <w:b/>
          <w:bCs/>
          <w:color w:val="000000"/>
          <w:sz w:val="24"/>
          <w:szCs w:val="24"/>
        </w:rPr>
        <w:t>湖南财政经济学院</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级</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专业人才培养方案制定审批表</w:t>
      </w:r>
    </w:p>
    <w:tbl>
      <w:tblPr>
        <w:tblStyle w:val="4"/>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355"/>
        <w:gridCol w:w="65"/>
        <w:gridCol w:w="987"/>
        <w:gridCol w:w="856"/>
        <w:gridCol w:w="610"/>
        <w:gridCol w:w="641"/>
        <w:gridCol w:w="74"/>
        <w:gridCol w:w="597"/>
        <w:gridCol w:w="815"/>
        <w:gridCol w:w="274"/>
        <w:gridCol w:w="541"/>
        <w:gridCol w:w="816"/>
        <w:gridCol w:w="137"/>
        <w:gridCol w:w="678"/>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65" w:type="dxa"/>
            <w:gridSpan w:val="2"/>
            <w:noWrap w:val="0"/>
            <w:vAlign w:val="center"/>
          </w:tcPr>
          <w:p>
            <w:pPr>
              <w:tabs>
                <w:tab w:val="left" w:pos="525"/>
              </w:tabs>
              <w:jc w:val="center"/>
              <w:rPr>
                <w:rFonts w:ascii="宋体" w:hAnsi="宋体"/>
                <w:color w:val="000000"/>
                <w:sz w:val="18"/>
                <w:szCs w:val="18"/>
              </w:rPr>
            </w:pPr>
            <w:r>
              <w:rPr>
                <w:rFonts w:hint="eastAsia" w:ascii="宋体" w:hAnsi="宋体"/>
                <w:color w:val="000000"/>
                <w:sz w:val="18"/>
                <w:szCs w:val="18"/>
              </w:rPr>
              <w:t>专业名称</w:t>
            </w:r>
          </w:p>
        </w:tc>
        <w:tc>
          <w:tcPr>
            <w:tcW w:w="3233" w:type="dxa"/>
            <w:gridSpan w:val="6"/>
            <w:noWrap w:val="0"/>
            <w:vAlign w:val="center"/>
          </w:tcPr>
          <w:p>
            <w:pPr>
              <w:tabs>
                <w:tab w:val="left" w:pos="525"/>
              </w:tabs>
              <w:jc w:val="center"/>
              <w:rPr>
                <w:rFonts w:ascii="宋体" w:hAnsi="宋体"/>
                <w:color w:val="000000"/>
                <w:sz w:val="18"/>
                <w:szCs w:val="18"/>
              </w:rPr>
            </w:pPr>
          </w:p>
        </w:tc>
        <w:tc>
          <w:tcPr>
            <w:tcW w:w="1686" w:type="dxa"/>
            <w:gridSpan w:val="3"/>
            <w:noWrap w:val="0"/>
            <w:vAlign w:val="center"/>
          </w:tcPr>
          <w:p>
            <w:pPr>
              <w:tabs>
                <w:tab w:val="left" w:pos="525"/>
              </w:tabs>
              <w:jc w:val="center"/>
              <w:rPr>
                <w:rFonts w:ascii="宋体" w:hAnsi="宋体"/>
                <w:color w:val="000000"/>
                <w:sz w:val="18"/>
                <w:szCs w:val="18"/>
              </w:rPr>
            </w:pPr>
            <w:r>
              <w:rPr>
                <w:rFonts w:hint="eastAsia" w:ascii="宋体" w:hAnsi="宋体"/>
                <w:color w:val="000000"/>
                <w:sz w:val="18"/>
                <w:szCs w:val="18"/>
              </w:rPr>
              <w:t>所属二级学院</w:t>
            </w:r>
          </w:p>
        </w:tc>
        <w:tc>
          <w:tcPr>
            <w:tcW w:w="2988" w:type="dxa"/>
            <w:gridSpan w:val="5"/>
            <w:noWrap w:val="0"/>
            <w:vAlign w:val="top"/>
          </w:tcPr>
          <w:p>
            <w:pPr>
              <w:tabs>
                <w:tab w:val="left" w:pos="525"/>
              </w:tabs>
              <w:jc w:val="left"/>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restart"/>
            <w:noWrap w:val="0"/>
            <w:vAlign w:val="center"/>
          </w:tcPr>
          <w:p>
            <w:pPr>
              <w:tabs>
                <w:tab w:val="left" w:pos="525"/>
              </w:tabs>
              <w:jc w:val="center"/>
              <w:rPr>
                <w:rFonts w:ascii="宋体" w:hAnsi="宋体"/>
                <w:color w:val="000000"/>
                <w:sz w:val="18"/>
                <w:szCs w:val="18"/>
              </w:rPr>
            </w:pPr>
            <w:r>
              <w:rPr>
                <w:rFonts w:hint="eastAsia" w:ascii="宋体" w:hAnsi="宋体"/>
                <w:color w:val="000000"/>
                <w:sz w:val="18"/>
                <w:szCs w:val="18"/>
              </w:rPr>
              <w:t>毕</w:t>
            </w:r>
          </w:p>
          <w:p>
            <w:pPr>
              <w:tabs>
                <w:tab w:val="left" w:pos="525"/>
              </w:tabs>
              <w:jc w:val="center"/>
              <w:rPr>
                <w:rFonts w:ascii="宋体" w:hAnsi="宋体"/>
                <w:color w:val="000000"/>
                <w:sz w:val="18"/>
                <w:szCs w:val="18"/>
              </w:rPr>
            </w:pPr>
            <w:r>
              <w:rPr>
                <w:rFonts w:hint="eastAsia" w:ascii="宋体" w:hAnsi="宋体"/>
                <w:color w:val="000000"/>
                <w:sz w:val="18"/>
                <w:szCs w:val="18"/>
              </w:rPr>
              <w:t>业</w:t>
            </w:r>
          </w:p>
          <w:p>
            <w:pPr>
              <w:tabs>
                <w:tab w:val="left" w:pos="525"/>
              </w:tabs>
              <w:jc w:val="center"/>
              <w:rPr>
                <w:rFonts w:ascii="宋体" w:hAnsi="宋体"/>
                <w:color w:val="000000"/>
                <w:sz w:val="18"/>
                <w:szCs w:val="18"/>
              </w:rPr>
            </w:pPr>
            <w:r>
              <w:rPr>
                <w:rFonts w:hint="eastAsia" w:ascii="宋体" w:hAnsi="宋体"/>
                <w:color w:val="000000"/>
                <w:sz w:val="18"/>
                <w:szCs w:val="18"/>
              </w:rPr>
              <w:t>学</w:t>
            </w:r>
          </w:p>
          <w:p>
            <w:pPr>
              <w:tabs>
                <w:tab w:val="left" w:pos="525"/>
              </w:tabs>
              <w:jc w:val="center"/>
              <w:rPr>
                <w:rFonts w:ascii="宋体" w:hAnsi="宋体"/>
                <w:color w:val="000000"/>
                <w:sz w:val="18"/>
                <w:szCs w:val="18"/>
              </w:rPr>
            </w:pPr>
            <w:r>
              <w:rPr>
                <w:rFonts w:hint="eastAsia" w:ascii="宋体" w:hAnsi="宋体"/>
                <w:color w:val="000000"/>
                <w:sz w:val="18"/>
                <w:szCs w:val="18"/>
              </w:rPr>
              <w:t>分</w:t>
            </w:r>
          </w:p>
          <w:p>
            <w:pPr>
              <w:tabs>
                <w:tab w:val="left" w:pos="525"/>
              </w:tabs>
              <w:jc w:val="center"/>
              <w:rPr>
                <w:rFonts w:ascii="宋体" w:hAnsi="宋体"/>
                <w:color w:val="000000"/>
                <w:sz w:val="18"/>
                <w:szCs w:val="18"/>
              </w:rPr>
            </w:pPr>
            <w:r>
              <w:rPr>
                <w:rFonts w:hint="eastAsia" w:ascii="宋体" w:hAnsi="宋体"/>
                <w:color w:val="000000"/>
                <w:sz w:val="18"/>
                <w:szCs w:val="18"/>
              </w:rPr>
              <w:t>要</w:t>
            </w:r>
          </w:p>
          <w:p>
            <w:pPr>
              <w:tabs>
                <w:tab w:val="left" w:pos="525"/>
              </w:tabs>
              <w:jc w:val="center"/>
              <w:rPr>
                <w:rFonts w:ascii="宋体" w:hAnsi="宋体"/>
                <w:color w:val="000000"/>
                <w:sz w:val="18"/>
                <w:szCs w:val="18"/>
              </w:rPr>
            </w:pPr>
            <w:r>
              <w:rPr>
                <w:rFonts w:hint="eastAsia" w:ascii="宋体" w:hAnsi="宋体"/>
                <w:color w:val="000000"/>
                <w:sz w:val="18"/>
                <w:szCs w:val="18"/>
              </w:rPr>
              <w:t>求</w:t>
            </w:r>
          </w:p>
        </w:tc>
        <w:tc>
          <w:tcPr>
            <w:tcW w:w="1407" w:type="dxa"/>
            <w:gridSpan w:val="3"/>
            <w:noWrap w:val="0"/>
            <w:vAlign w:val="center"/>
          </w:tcPr>
          <w:p>
            <w:pPr>
              <w:tabs>
                <w:tab w:val="left" w:pos="525"/>
              </w:tabs>
              <w:jc w:val="center"/>
              <w:rPr>
                <w:rFonts w:ascii="宋体" w:hAnsi="宋体"/>
                <w:color w:val="000000"/>
                <w:sz w:val="18"/>
                <w:szCs w:val="18"/>
              </w:rPr>
            </w:pPr>
            <w:r>
              <w:rPr>
                <w:rFonts w:hint="eastAsia" w:ascii="宋体" w:hAnsi="宋体"/>
                <w:color w:val="000000"/>
                <w:sz w:val="18"/>
                <w:szCs w:val="18"/>
              </w:rPr>
              <w:t>课程性质</w:t>
            </w:r>
          </w:p>
        </w:tc>
        <w:tc>
          <w:tcPr>
            <w:tcW w:w="3867" w:type="dxa"/>
            <w:gridSpan w:val="7"/>
            <w:noWrap w:val="0"/>
            <w:vAlign w:val="center"/>
          </w:tcPr>
          <w:p>
            <w:pPr>
              <w:tabs>
                <w:tab w:val="left" w:pos="525"/>
              </w:tabs>
              <w:jc w:val="center"/>
              <w:rPr>
                <w:rFonts w:ascii="宋体" w:hAnsi="宋体"/>
                <w:color w:val="000000"/>
                <w:sz w:val="18"/>
                <w:szCs w:val="18"/>
              </w:rPr>
            </w:pPr>
            <w:r>
              <w:rPr>
                <w:rFonts w:hint="eastAsia" w:ascii="宋体" w:hAnsi="宋体"/>
                <w:color w:val="000000"/>
                <w:sz w:val="18"/>
                <w:szCs w:val="18"/>
              </w:rPr>
              <w:t>课程类别</w:t>
            </w:r>
          </w:p>
        </w:tc>
        <w:tc>
          <w:tcPr>
            <w:tcW w:w="1494" w:type="dxa"/>
            <w:gridSpan w:val="3"/>
            <w:noWrap w:val="0"/>
            <w:vAlign w:val="top"/>
          </w:tcPr>
          <w:p>
            <w:pPr>
              <w:tabs>
                <w:tab w:val="left" w:pos="525"/>
              </w:tabs>
              <w:jc w:val="center"/>
              <w:rPr>
                <w:rFonts w:ascii="宋体" w:hAnsi="宋体"/>
                <w:color w:val="000000"/>
                <w:sz w:val="18"/>
                <w:szCs w:val="18"/>
              </w:rPr>
            </w:pPr>
            <w:r>
              <w:rPr>
                <w:rFonts w:hint="eastAsia" w:ascii="宋体" w:hAnsi="宋体"/>
                <w:color w:val="000000"/>
                <w:sz w:val="18"/>
                <w:szCs w:val="18"/>
              </w:rPr>
              <w:t>学分</w:t>
            </w:r>
          </w:p>
        </w:tc>
        <w:tc>
          <w:tcPr>
            <w:tcW w:w="1494" w:type="dxa"/>
            <w:gridSpan w:val="2"/>
            <w:noWrap w:val="0"/>
            <w:vAlign w:val="top"/>
          </w:tcPr>
          <w:p>
            <w:pPr>
              <w:tabs>
                <w:tab w:val="left" w:pos="525"/>
              </w:tabs>
              <w:jc w:val="center"/>
              <w:rPr>
                <w:rFonts w:ascii="宋体" w:hAnsi="宋体"/>
                <w:color w:val="000000"/>
                <w:sz w:val="18"/>
                <w:szCs w:val="18"/>
              </w:rPr>
            </w:pPr>
            <w:r>
              <w:rPr>
                <w:rFonts w:hint="eastAsia" w:ascii="宋体" w:hAnsi="宋体"/>
                <w:color w:val="000000"/>
                <w:sz w:val="18"/>
                <w:szCs w:val="1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center"/>
          </w:tcPr>
          <w:p>
            <w:pPr>
              <w:tabs>
                <w:tab w:val="left" w:pos="525"/>
              </w:tabs>
              <w:jc w:val="center"/>
              <w:rPr>
                <w:rFonts w:ascii="宋体" w:hAnsi="宋体"/>
                <w:color w:val="000000"/>
                <w:sz w:val="18"/>
                <w:szCs w:val="18"/>
              </w:rPr>
            </w:pPr>
          </w:p>
        </w:tc>
        <w:tc>
          <w:tcPr>
            <w:tcW w:w="1407" w:type="dxa"/>
            <w:gridSpan w:val="3"/>
            <w:vMerge w:val="restart"/>
            <w:noWrap w:val="0"/>
            <w:vAlign w:val="center"/>
          </w:tcPr>
          <w:p>
            <w:pPr>
              <w:tabs>
                <w:tab w:val="left" w:pos="525"/>
              </w:tabs>
              <w:jc w:val="center"/>
              <w:rPr>
                <w:rFonts w:ascii="宋体" w:hAnsi="宋体"/>
                <w:color w:val="000000"/>
                <w:sz w:val="18"/>
                <w:szCs w:val="18"/>
              </w:rPr>
            </w:pPr>
            <w:r>
              <w:rPr>
                <w:rFonts w:hint="eastAsia" w:ascii="宋体" w:hAnsi="宋体"/>
                <w:color w:val="000000"/>
                <w:sz w:val="18"/>
                <w:szCs w:val="18"/>
              </w:rPr>
              <w:t>必修</w:t>
            </w:r>
          </w:p>
        </w:tc>
        <w:tc>
          <w:tcPr>
            <w:tcW w:w="3867" w:type="dxa"/>
            <w:gridSpan w:val="7"/>
            <w:noWrap w:val="0"/>
            <w:vAlign w:val="center"/>
          </w:tcPr>
          <w:p>
            <w:pPr>
              <w:tabs>
                <w:tab w:val="left" w:pos="525"/>
              </w:tabs>
              <w:rPr>
                <w:rFonts w:hint="eastAsia" w:ascii="宋体" w:hAnsi="宋体" w:eastAsia="宋体"/>
                <w:color w:val="000000"/>
                <w:sz w:val="18"/>
                <w:szCs w:val="18"/>
                <w:lang w:eastAsia="zh-CN"/>
              </w:rPr>
            </w:pPr>
            <w:r>
              <w:rPr>
                <w:rFonts w:hint="eastAsia" w:ascii="宋体" w:hAnsi="宋体"/>
                <w:color w:val="000000"/>
                <w:sz w:val="18"/>
                <w:szCs w:val="18"/>
              </w:rPr>
              <w:t>通识教育</w:t>
            </w:r>
            <w:r>
              <w:rPr>
                <w:rFonts w:hint="eastAsia" w:ascii="宋体" w:hAnsi="宋体"/>
                <w:color w:val="000000"/>
                <w:sz w:val="18"/>
                <w:szCs w:val="18"/>
                <w:lang w:val="en-US" w:eastAsia="zh-CN"/>
              </w:rPr>
              <w:t>大类</w:t>
            </w:r>
            <w:r>
              <w:rPr>
                <w:rFonts w:hint="eastAsia" w:ascii="宋体" w:hAnsi="宋体"/>
                <w:color w:val="000000"/>
                <w:sz w:val="18"/>
                <w:szCs w:val="18"/>
              </w:rPr>
              <w:t>必修课</w:t>
            </w:r>
            <w:r>
              <w:rPr>
                <w:rFonts w:hint="eastAsia" w:ascii="宋体" w:hAnsi="宋体"/>
                <w:color w:val="000000"/>
                <w:sz w:val="18"/>
                <w:szCs w:val="18"/>
                <w:lang w:eastAsia="zh-CN"/>
              </w:rPr>
              <w:t>（</w:t>
            </w:r>
            <w:r>
              <w:rPr>
                <w:rFonts w:hint="eastAsia" w:ascii="宋体" w:hAnsi="宋体"/>
                <w:color w:val="000000"/>
                <w:sz w:val="18"/>
                <w:szCs w:val="18"/>
                <w:lang w:val="en-US" w:eastAsia="zh-CN"/>
              </w:rPr>
              <w:t>含思想政治课、公共基础必修课和通识教育必修课</w:t>
            </w:r>
            <w:r>
              <w:rPr>
                <w:rFonts w:hint="eastAsia" w:ascii="宋体" w:hAnsi="宋体"/>
                <w:color w:val="000000"/>
                <w:sz w:val="18"/>
                <w:szCs w:val="18"/>
                <w:lang w:eastAsia="zh-CN"/>
              </w:rPr>
              <w:t>）</w:t>
            </w:r>
          </w:p>
        </w:tc>
        <w:tc>
          <w:tcPr>
            <w:tcW w:w="1494" w:type="dxa"/>
            <w:gridSpan w:val="3"/>
            <w:noWrap w:val="0"/>
            <w:vAlign w:val="top"/>
          </w:tcPr>
          <w:p>
            <w:pPr>
              <w:tabs>
                <w:tab w:val="left" w:pos="525"/>
              </w:tabs>
              <w:jc w:val="center"/>
              <w:rPr>
                <w:rFonts w:ascii="宋体" w:hAnsi="宋体"/>
                <w:color w:val="000000"/>
                <w:sz w:val="18"/>
                <w:szCs w:val="18"/>
              </w:rPr>
            </w:pPr>
          </w:p>
        </w:tc>
        <w:tc>
          <w:tcPr>
            <w:tcW w:w="1494" w:type="dxa"/>
            <w:gridSpan w:val="2"/>
            <w:noWrap w:val="0"/>
            <w:vAlign w:val="top"/>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center"/>
          </w:tcPr>
          <w:p>
            <w:pPr>
              <w:tabs>
                <w:tab w:val="left" w:pos="525"/>
              </w:tabs>
              <w:jc w:val="center"/>
              <w:rPr>
                <w:rFonts w:ascii="宋体" w:hAnsi="宋体"/>
                <w:color w:val="000000"/>
                <w:sz w:val="18"/>
                <w:szCs w:val="18"/>
              </w:rPr>
            </w:pPr>
          </w:p>
        </w:tc>
        <w:tc>
          <w:tcPr>
            <w:tcW w:w="1407" w:type="dxa"/>
            <w:gridSpan w:val="3"/>
            <w:vMerge w:val="continue"/>
            <w:noWrap w:val="0"/>
            <w:vAlign w:val="center"/>
          </w:tcPr>
          <w:p>
            <w:pPr>
              <w:tabs>
                <w:tab w:val="left" w:pos="525"/>
              </w:tabs>
              <w:jc w:val="center"/>
              <w:rPr>
                <w:rFonts w:ascii="宋体" w:hAnsi="宋体"/>
                <w:color w:val="000000"/>
                <w:sz w:val="18"/>
                <w:szCs w:val="18"/>
              </w:rPr>
            </w:pPr>
          </w:p>
        </w:tc>
        <w:tc>
          <w:tcPr>
            <w:tcW w:w="3867" w:type="dxa"/>
            <w:gridSpan w:val="7"/>
            <w:noWrap w:val="0"/>
            <w:vAlign w:val="center"/>
          </w:tcPr>
          <w:p>
            <w:pPr>
              <w:tabs>
                <w:tab w:val="left" w:pos="525"/>
              </w:tabs>
              <w:rPr>
                <w:rFonts w:ascii="宋体" w:hAnsi="宋体"/>
                <w:color w:val="000000"/>
                <w:sz w:val="18"/>
                <w:szCs w:val="18"/>
              </w:rPr>
            </w:pPr>
            <w:r>
              <w:rPr>
                <w:rFonts w:hint="eastAsia" w:ascii="宋体" w:hAnsi="宋体"/>
                <w:color w:val="000000"/>
                <w:sz w:val="18"/>
                <w:szCs w:val="18"/>
              </w:rPr>
              <w:t>学科（专业）基础课</w:t>
            </w:r>
          </w:p>
        </w:tc>
        <w:tc>
          <w:tcPr>
            <w:tcW w:w="1494" w:type="dxa"/>
            <w:gridSpan w:val="3"/>
            <w:noWrap w:val="0"/>
            <w:vAlign w:val="top"/>
          </w:tcPr>
          <w:p>
            <w:pPr>
              <w:tabs>
                <w:tab w:val="left" w:pos="525"/>
              </w:tabs>
              <w:jc w:val="center"/>
              <w:rPr>
                <w:rFonts w:ascii="宋体" w:hAnsi="宋体"/>
                <w:color w:val="000000"/>
                <w:sz w:val="18"/>
                <w:szCs w:val="18"/>
              </w:rPr>
            </w:pPr>
          </w:p>
        </w:tc>
        <w:tc>
          <w:tcPr>
            <w:tcW w:w="1494" w:type="dxa"/>
            <w:gridSpan w:val="2"/>
            <w:noWrap w:val="0"/>
            <w:vAlign w:val="top"/>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center"/>
          </w:tcPr>
          <w:p>
            <w:pPr>
              <w:tabs>
                <w:tab w:val="left" w:pos="525"/>
              </w:tabs>
              <w:jc w:val="center"/>
              <w:rPr>
                <w:rFonts w:ascii="宋体" w:hAnsi="宋体"/>
                <w:color w:val="000000"/>
                <w:sz w:val="18"/>
                <w:szCs w:val="18"/>
              </w:rPr>
            </w:pPr>
          </w:p>
        </w:tc>
        <w:tc>
          <w:tcPr>
            <w:tcW w:w="1407" w:type="dxa"/>
            <w:gridSpan w:val="3"/>
            <w:vMerge w:val="continue"/>
            <w:noWrap w:val="0"/>
            <w:vAlign w:val="center"/>
          </w:tcPr>
          <w:p>
            <w:pPr>
              <w:tabs>
                <w:tab w:val="left" w:pos="525"/>
              </w:tabs>
              <w:jc w:val="center"/>
              <w:rPr>
                <w:rFonts w:ascii="宋体" w:hAnsi="宋体"/>
                <w:color w:val="000000"/>
                <w:sz w:val="18"/>
                <w:szCs w:val="18"/>
              </w:rPr>
            </w:pPr>
          </w:p>
        </w:tc>
        <w:tc>
          <w:tcPr>
            <w:tcW w:w="3867" w:type="dxa"/>
            <w:gridSpan w:val="7"/>
            <w:noWrap w:val="0"/>
            <w:vAlign w:val="center"/>
          </w:tcPr>
          <w:p>
            <w:pPr>
              <w:tabs>
                <w:tab w:val="left" w:pos="525"/>
              </w:tabs>
              <w:rPr>
                <w:rFonts w:ascii="宋体" w:hAnsi="宋体"/>
                <w:color w:val="000000"/>
                <w:sz w:val="18"/>
                <w:szCs w:val="18"/>
              </w:rPr>
            </w:pPr>
            <w:r>
              <w:rPr>
                <w:rFonts w:hint="eastAsia" w:ascii="宋体" w:hAnsi="宋体"/>
                <w:color w:val="000000"/>
                <w:sz w:val="18"/>
                <w:szCs w:val="18"/>
              </w:rPr>
              <w:t>专业必修课</w:t>
            </w:r>
          </w:p>
        </w:tc>
        <w:tc>
          <w:tcPr>
            <w:tcW w:w="1494" w:type="dxa"/>
            <w:gridSpan w:val="3"/>
            <w:noWrap w:val="0"/>
            <w:vAlign w:val="top"/>
          </w:tcPr>
          <w:p>
            <w:pPr>
              <w:tabs>
                <w:tab w:val="left" w:pos="525"/>
              </w:tabs>
              <w:jc w:val="center"/>
              <w:rPr>
                <w:rFonts w:ascii="宋体" w:hAnsi="宋体"/>
                <w:color w:val="000000"/>
                <w:sz w:val="18"/>
                <w:szCs w:val="18"/>
              </w:rPr>
            </w:pPr>
          </w:p>
        </w:tc>
        <w:tc>
          <w:tcPr>
            <w:tcW w:w="1494" w:type="dxa"/>
            <w:gridSpan w:val="2"/>
            <w:noWrap w:val="0"/>
            <w:vAlign w:val="top"/>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10" w:type="dxa"/>
            <w:vMerge w:val="continue"/>
            <w:noWrap w:val="0"/>
            <w:vAlign w:val="center"/>
          </w:tcPr>
          <w:p>
            <w:pPr>
              <w:tabs>
                <w:tab w:val="left" w:pos="525"/>
              </w:tabs>
              <w:jc w:val="center"/>
              <w:rPr>
                <w:rFonts w:ascii="宋体" w:hAnsi="宋体"/>
                <w:color w:val="000000"/>
                <w:sz w:val="18"/>
                <w:szCs w:val="18"/>
              </w:rPr>
            </w:pPr>
          </w:p>
        </w:tc>
        <w:tc>
          <w:tcPr>
            <w:tcW w:w="1407" w:type="dxa"/>
            <w:gridSpan w:val="3"/>
            <w:vMerge w:val="continue"/>
            <w:noWrap w:val="0"/>
            <w:vAlign w:val="center"/>
          </w:tcPr>
          <w:p>
            <w:pPr>
              <w:tabs>
                <w:tab w:val="left" w:pos="525"/>
              </w:tabs>
              <w:jc w:val="center"/>
              <w:rPr>
                <w:rFonts w:ascii="宋体" w:hAnsi="宋体"/>
                <w:color w:val="000000"/>
                <w:sz w:val="18"/>
                <w:szCs w:val="18"/>
              </w:rPr>
            </w:pPr>
          </w:p>
        </w:tc>
        <w:tc>
          <w:tcPr>
            <w:tcW w:w="3867" w:type="dxa"/>
            <w:gridSpan w:val="7"/>
            <w:noWrap w:val="0"/>
            <w:vAlign w:val="center"/>
          </w:tcPr>
          <w:p>
            <w:pPr>
              <w:tabs>
                <w:tab w:val="left" w:pos="525"/>
              </w:tabs>
              <w:rPr>
                <w:rFonts w:ascii="宋体" w:hAnsi="宋体"/>
                <w:color w:val="000000"/>
                <w:sz w:val="18"/>
                <w:szCs w:val="18"/>
              </w:rPr>
            </w:pPr>
            <w:r>
              <w:rPr>
                <w:rFonts w:hint="eastAsia" w:ascii="宋体" w:hAnsi="宋体"/>
                <w:color w:val="000000"/>
                <w:sz w:val="18"/>
                <w:szCs w:val="18"/>
              </w:rPr>
              <w:t>学校统一开设的集中实践课(实训、实习、论文、设计、军训等)</w:t>
            </w:r>
          </w:p>
        </w:tc>
        <w:tc>
          <w:tcPr>
            <w:tcW w:w="1494" w:type="dxa"/>
            <w:gridSpan w:val="3"/>
            <w:noWrap w:val="0"/>
            <w:vAlign w:val="top"/>
          </w:tcPr>
          <w:p>
            <w:pPr>
              <w:tabs>
                <w:tab w:val="left" w:pos="525"/>
              </w:tabs>
              <w:jc w:val="center"/>
              <w:rPr>
                <w:rFonts w:ascii="宋体" w:hAnsi="宋体"/>
                <w:color w:val="000000"/>
                <w:sz w:val="18"/>
                <w:szCs w:val="18"/>
              </w:rPr>
            </w:pPr>
          </w:p>
        </w:tc>
        <w:tc>
          <w:tcPr>
            <w:tcW w:w="1494" w:type="dxa"/>
            <w:gridSpan w:val="2"/>
            <w:noWrap w:val="0"/>
            <w:vAlign w:val="top"/>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center"/>
          </w:tcPr>
          <w:p>
            <w:pPr>
              <w:tabs>
                <w:tab w:val="left" w:pos="525"/>
              </w:tabs>
              <w:jc w:val="center"/>
              <w:rPr>
                <w:rFonts w:ascii="宋体" w:hAnsi="宋体"/>
                <w:color w:val="000000"/>
                <w:sz w:val="18"/>
                <w:szCs w:val="18"/>
              </w:rPr>
            </w:pPr>
          </w:p>
        </w:tc>
        <w:tc>
          <w:tcPr>
            <w:tcW w:w="1407" w:type="dxa"/>
            <w:gridSpan w:val="3"/>
            <w:vMerge w:val="continue"/>
            <w:noWrap w:val="0"/>
            <w:vAlign w:val="center"/>
          </w:tcPr>
          <w:p>
            <w:pPr>
              <w:tabs>
                <w:tab w:val="left" w:pos="525"/>
              </w:tabs>
              <w:jc w:val="center"/>
              <w:rPr>
                <w:rFonts w:ascii="宋体" w:hAnsi="宋体"/>
                <w:color w:val="000000"/>
                <w:sz w:val="18"/>
                <w:szCs w:val="18"/>
              </w:rPr>
            </w:pPr>
          </w:p>
        </w:tc>
        <w:tc>
          <w:tcPr>
            <w:tcW w:w="3867" w:type="dxa"/>
            <w:gridSpan w:val="7"/>
            <w:noWrap w:val="0"/>
            <w:vAlign w:val="center"/>
          </w:tcPr>
          <w:p>
            <w:pPr>
              <w:tabs>
                <w:tab w:val="left" w:pos="525"/>
              </w:tabs>
              <w:rPr>
                <w:rFonts w:ascii="宋体" w:hAnsi="宋体"/>
                <w:color w:val="000000"/>
                <w:sz w:val="18"/>
                <w:szCs w:val="18"/>
              </w:rPr>
            </w:pPr>
            <w:r>
              <w:rPr>
                <w:rFonts w:hint="eastAsia" w:ascii="宋体" w:hAnsi="宋体"/>
                <w:color w:val="000000"/>
                <w:sz w:val="18"/>
                <w:szCs w:val="18"/>
              </w:rPr>
              <w:t>各专业开设的集中实践课</w:t>
            </w:r>
          </w:p>
        </w:tc>
        <w:tc>
          <w:tcPr>
            <w:tcW w:w="1494" w:type="dxa"/>
            <w:gridSpan w:val="3"/>
            <w:noWrap w:val="0"/>
            <w:vAlign w:val="top"/>
          </w:tcPr>
          <w:p>
            <w:pPr>
              <w:tabs>
                <w:tab w:val="left" w:pos="525"/>
              </w:tabs>
              <w:jc w:val="center"/>
              <w:rPr>
                <w:rFonts w:ascii="宋体" w:hAnsi="宋体"/>
                <w:color w:val="000000"/>
                <w:sz w:val="18"/>
                <w:szCs w:val="18"/>
              </w:rPr>
            </w:pPr>
          </w:p>
        </w:tc>
        <w:tc>
          <w:tcPr>
            <w:tcW w:w="1494" w:type="dxa"/>
            <w:gridSpan w:val="2"/>
            <w:noWrap w:val="0"/>
            <w:vAlign w:val="top"/>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center"/>
          </w:tcPr>
          <w:p>
            <w:pPr>
              <w:tabs>
                <w:tab w:val="left" w:pos="525"/>
              </w:tabs>
              <w:jc w:val="center"/>
              <w:rPr>
                <w:rFonts w:ascii="宋体" w:hAnsi="宋体"/>
                <w:color w:val="000000"/>
                <w:sz w:val="18"/>
                <w:szCs w:val="18"/>
              </w:rPr>
            </w:pPr>
          </w:p>
        </w:tc>
        <w:tc>
          <w:tcPr>
            <w:tcW w:w="1407" w:type="dxa"/>
            <w:gridSpan w:val="3"/>
            <w:vMerge w:val="restart"/>
            <w:noWrap w:val="0"/>
            <w:vAlign w:val="center"/>
          </w:tcPr>
          <w:p>
            <w:pPr>
              <w:tabs>
                <w:tab w:val="left" w:pos="525"/>
              </w:tabs>
              <w:jc w:val="center"/>
              <w:rPr>
                <w:rFonts w:ascii="宋体" w:hAnsi="宋体"/>
                <w:color w:val="000000"/>
                <w:sz w:val="18"/>
                <w:szCs w:val="18"/>
              </w:rPr>
            </w:pPr>
            <w:r>
              <w:rPr>
                <w:rFonts w:hint="eastAsia" w:ascii="宋体" w:hAnsi="宋体"/>
                <w:color w:val="000000"/>
                <w:sz w:val="18"/>
                <w:szCs w:val="18"/>
              </w:rPr>
              <w:t>选修</w:t>
            </w:r>
          </w:p>
        </w:tc>
        <w:tc>
          <w:tcPr>
            <w:tcW w:w="3867" w:type="dxa"/>
            <w:gridSpan w:val="7"/>
            <w:noWrap w:val="0"/>
            <w:vAlign w:val="center"/>
          </w:tcPr>
          <w:p>
            <w:pPr>
              <w:tabs>
                <w:tab w:val="left" w:pos="525"/>
              </w:tabs>
              <w:rPr>
                <w:rFonts w:ascii="宋体" w:hAnsi="宋体"/>
                <w:color w:val="000000"/>
                <w:sz w:val="18"/>
                <w:szCs w:val="18"/>
              </w:rPr>
            </w:pPr>
            <w:r>
              <w:rPr>
                <w:rFonts w:hint="eastAsia" w:ascii="宋体" w:hAnsi="宋体"/>
                <w:color w:val="000000"/>
                <w:sz w:val="18"/>
                <w:szCs w:val="18"/>
                <w:lang w:val="en-US" w:eastAsia="zh-CN"/>
              </w:rPr>
              <w:t>通识</w:t>
            </w:r>
            <w:r>
              <w:rPr>
                <w:rFonts w:hint="eastAsia" w:ascii="宋体" w:hAnsi="宋体"/>
                <w:color w:val="000000"/>
                <w:sz w:val="18"/>
                <w:szCs w:val="18"/>
              </w:rPr>
              <w:t>教育选修课</w:t>
            </w:r>
          </w:p>
        </w:tc>
        <w:tc>
          <w:tcPr>
            <w:tcW w:w="1494" w:type="dxa"/>
            <w:gridSpan w:val="3"/>
            <w:noWrap w:val="0"/>
            <w:vAlign w:val="top"/>
          </w:tcPr>
          <w:p>
            <w:pPr>
              <w:tabs>
                <w:tab w:val="left" w:pos="525"/>
              </w:tabs>
              <w:jc w:val="center"/>
              <w:rPr>
                <w:rFonts w:ascii="宋体" w:hAnsi="宋体"/>
                <w:color w:val="000000"/>
                <w:sz w:val="18"/>
                <w:szCs w:val="18"/>
              </w:rPr>
            </w:pPr>
          </w:p>
        </w:tc>
        <w:tc>
          <w:tcPr>
            <w:tcW w:w="1494" w:type="dxa"/>
            <w:gridSpan w:val="2"/>
            <w:noWrap w:val="0"/>
            <w:vAlign w:val="top"/>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center"/>
          </w:tcPr>
          <w:p>
            <w:pPr>
              <w:tabs>
                <w:tab w:val="left" w:pos="525"/>
              </w:tabs>
              <w:jc w:val="center"/>
              <w:rPr>
                <w:rFonts w:ascii="宋体" w:hAnsi="宋体"/>
                <w:color w:val="000000"/>
                <w:sz w:val="18"/>
                <w:szCs w:val="18"/>
              </w:rPr>
            </w:pPr>
          </w:p>
        </w:tc>
        <w:tc>
          <w:tcPr>
            <w:tcW w:w="1407" w:type="dxa"/>
            <w:gridSpan w:val="3"/>
            <w:vMerge w:val="continue"/>
            <w:noWrap w:val="0"/>
            <w:vAlign w:val="top"/>
          </w:tcPr>
          <w:p>
            <w:pPr>
              <w:tabs>
                <w:tab w:val="left" w:pos="525"/>
              </w:tabs>
              <w:jc w:val="left"/>
              <w:rPr>
                <w:rFonts w:ascii="宋体" w:hAnsi="宋体"/>
                <w:color w:val="000000"/>
                <w:sz w:val="18"/>
                <w:szCs w:val="18"/>
              </w:rPr>
            </w:pPr>
          </w:p>
        </w:tc>
        <w:tc>
          <w:tcPr>
            <w:tcW w:w="3867" w:type="dxa"/>
            <w:gridSpan w:val="7"/>
            <w:noWrap w:val="0"/>
            <w:vAlign w:val="center"/>
          </w:tcPr>
          <w:p>
            <w:pPr>
              <w:tabs>
                <w:tab w:val="left" w:pos="525"/>
              </w:tabs>
              <w:rPr>
                <w:rFonts w:ascii="宋体" w:hAnsi="宋体"/>
                <w:color w:val="000000"/>
                <w:sz w:val="18"/>
                <w:szCs w:val="18"/>
              </w:rPr>
            </w:pPr>
            <w:r>
              <w:rPr>
                <w:rFonts w:hint="eastAsia" w:ascii="宋体" w:hAnsi="宋体"/>
                <w:color w:val="000000"/>
                <w:sz w:val="18"/>
                <w:szCs w:val="18"/>
              </w:rPr>
              <w:t>专业选修课</w:t>
            </w:r>
          </w:p>
        </w:tc>
        <w:tc>
          <w:tcPr>
            <w:tcW w:w="1494" w:type="dxa"/>
            <w:gridSpan w:val="3"/>
            <w:noWrap w:val="0"/>
            <w:vAlign w:val="top"/>
          </w:tcPr>
          <w:p>
            <w:pPr>
              <w:tabs>
                <w:tab w:val="left" w:pos="525"/>
              </w:tabs>
              <w:jc w:val="center"/>
              <w:rPr>
                <w:rFonts w:ascii="宋体" w:hAnsi="宋体"/>
                <w:color w:val="000000"/>
                <w:sz w:val="18"/>
                <w:szCs w:val="18"/>
              </w:rPr>
            </w:pPr>
          </w:p>
        </w:tc>
        <w:tc>
          <w:tcPr>
            <w:tcW w:w="1494" w:type="dxa"/>
            <w:gridSpan w:val="2"/>
            <w:noWrap w:val="0"/>
            <w:vAlign w:val="top"/>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center"/>
          </w:tcPr>
          <w:p>
            <w:pPr>
              <w:tabs>
                <w:tab w:val="left" w:pos="525"/>
              </w:tabs>
              <w:jc w:val="center"/>
              <w:rPr>
                <w:rFonts w:ascii="宋体" w:hAnsi="宋体"/>
                <w:color w:val="000000"/>
                <w:sz w:val="18"/>
                <w:szCs w:val="18"/>
              </w:rPr>
            </w:pPr>
          </w:p>
        </w:tc>
        <w:tc>
          <w:tcPr>
            <w:tcW w:w="5274" w:type="dxa"/>
            <w:gridSpan w:val="10"/>
            <w:noWrap w:val="0"/>
            <w:vAlign w:val="top"/>
          </w:tcPr>
          <w:p>
            <w:pPr>
              <w:tabs>
                <w:tab w:val="left" w:pos="525"/>
              </w:tabs>
              <w:jc w:val="center"/>
              <w:rPr>
                <w:rFonts w:ascii="宋体" w:hAnsi="宋体"/>
                <w:color w:val="000000"/>
                <w:sz w:val="18"/>
                <w:szCs w:val="18"/>
              </w:rPr>
            </w:pPr>
            <w:r>
              <w:rPr>
                <w:rFonts w:hint="eastAsia" w:ascii="宋体" w:hAnsi="宋体"/>
                <w:color w:val="000000"/>
                <w:sz w:val="18"/>
                <w:szCs w:val="18"/>
              </w:rPr>
              <w:t>合计</w:t>
            </w:r>
          </w:p>
        </w:tc>
        <w:tc>
          <w:tcPr>
            <w:tcW w:w="1494" w:type="dxa"/>
            <w:gridSpan w:val="3"/>
            <w:noWrap w:val="0"/>
            <w:vAlign w:val="top"/>
          </w:tcPr>
          <w:p>
            <w:pPr>
              <w:tabs>
                <w:tab w:val="left" w:pos="525"/>
              </w:tabs>
              <w:jc w:val="center"/>
              <w:rPr>
                <w:rFonts w:ascii="宋体" w:hAnsi="宋体"/>
                <w:color w:val="000000"/>
                <w:sz w:val="18"/>
                <w:szCs w:val="18"/>
              </w:rPr>
            </w:pPr>
          </w:p>
        </w:tc>
        <w:tc>
          <w:tcPr>
            <w:tcW w:w="1494" w:type="dxa"/>
            <w:gridSpan w:val="2"/>
            <w:noWrap w:val="0"/>
            <w:vAlign w:val="top"/>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restart"/>
            <w:noWrap w:val="0"/>
            <w:tcMar>
              <w:left w:w="0" w:type="dxa"/>
              <w:right w:w="0" w:type="dxa"/>
            </w:tcMar>
            <w:vAlign w:val="center"/>
          </w:tcPr>
          <w:p>
            <w:pPr>
              <w:tabs>
                <w:tab w:val="left" w:pos="525"/>
              </w:tabs>
              <w:jc w:val="center"/>
              <w:rPr>
                <w:rFonts w:hint="eastAsia" w:ascii="宋体" w:hAnsi="宋体"/>
                <w:color w:val="000000"/>
                <w:sz w:val="18"/>
                <w:szCs w:val="18"/>
              </w:rPr>
            </w:pPr>
            <w:r>
              <w:rPr>
                <w:rFonts w:hint="eastAsia" w:ascii="宋体" w:hAnsi="宋体"/>
                <w:color w:val="000000"/>
                <w:sz w:val="18"/>
                <w:szCs w:val="18"/>
              </w:rPr>
              <w:t>各学期</w:t>
            </w:r>
          </w:p>
          <w:p>
            <w:pPr>
              <w:tabs>
                <w:tab w:val="left" w:pos="525"/>
              </w:tabs>
              <w:jc w:val="center"/>
              <w:rPr>
                <w:rFonts w:ascii="宋体" w:hAnsi="宋体"/>
                <w:color w:val="000000"/>
                <w:sz w:val="18"/>
                <w:szCs w:val="18"/>
              </w:rPr>
            </w:pPr>
            <w:r>
              <w:rPr>
                <w:rFonts w:hint="eastAsia" w:ascii="宋体" w:hAnsi="宋体"/>
                <w:color w:val="000000"/>
                <w:sz w:val="18"/>
                <w:szCs w:val="18"/>
              </w:rPr>
              <w:t>学分</w:t>
            </w:r>
          </w:p>
          <w:p>
            <w:pPr>
              <w:tabs>
                <w:tab w:val="left" w:pos="525"/>
              </w:tabs>
              <w:jc w:val="center"/>
              <w:rPr>
                <w:rFonts w:ascii="宋体" w:hAnsi="宋体"/>
                <w:color w:val="000000"/>
                <w:sz w:val="18"/>
                <w:szCs w:val="18"/>
              </w:rPr>
            </w:pPr>
            <w:r>
              <w:rPr>
                <w:rFonts w:hint="eastAsia" w:ascii="宋体" w:hAnsi="宋体"/>
                <w:color w:val="000000"/>
                <w:sz w:val="18"/>
                <w:szCs w:val="18"/>
              </w:rPr>
              <w:t>分布</w:t>
            </w:r>
          </w:p>
        </w:tc>
        <w:tc>
          <w:tcPr>
            <w:tcW w:w="2263" w:type="dxa"/>
            <w:gridSpan w:val="4"/>
            <w:noWrap w:val="0"/>
            <w:vAlign w:val="center"/>
          </w:tcPr>
          <w:p>
            <w:pPr>
              <w:tabs>
                <w:tab w:val="left" w:pos="525"/>
              </w:tabs>
              <w:jc w:val="center"/>
              <w:rPr>
                <w:rFonts w:ascii="宋体" w:hAnsi="宋体"/>
                <w:color w:val="000000"/>
                <w:sz w:val="18"/>
                <w:szCs w:val="18"/>
              </w:rPr>
            </w:pPr>
            <w:r>
              <w:rPr>
                <w:rFonts w:hint="eastAsia" w:ascii="宋体" w:hAnsi="宋体"/>
                <w:color w:val="000000"/>
                <w:sz w:val="18"/>
                <w:szCs w:val="18"/>
              </w:rPr>
              <w:t>学期</w:t>
            </w:r>
          </w:p>
        </w:tc>
        <w:tc>
          <w:tcPr>
            <w:tcW w:w="610" w:type="dxa"/>
            <w:noWrap w:val="0"/>
            <w:vAlign w:val="center"/>
          </w:tcPr>
          <w:p>
            <w:pPr>
              <w:tabs>
                <w:tab w:val="left" w:pos="525"/>
              </w:tabs>
              <w:jc w:val="center"/>
              <w:rPr>
                <w:rFonts w:ascii="宋体" w:hAnsi="宋体"/>
                <w:color w:val="000000"/>
                <w:sz w:val="18"/>
                <w:szCs w:val="18"/>
              </w:rPr>
            </w:pPr>
            <w:r>
              <w:rPr>
                <w:rFonts w:ascii="宋体" w:hAnsi="宋体"/>
                <w:color w:val="000000"/>
                <w:sz w:val="18"/>
                <w:szCs w:val="18"/>
              </w:rPr>
              <w:t>1</w:t>
            </w:r>
          </w:p>
        </w:tc>
        <w:tc>
          <w:tcPr>
            <w:tcW w:w="641" w:type="dxa"/>
            <w:noWrap w:val="0"/>
            <w:vAlign w:val="center"/>
          </w:tcPr>
          <w:p>
            <w:pPr>
              <w:tabs>
                <w:tab w:val="left" w:pos="525"/>
              </w:tabs>
              <w:jc w:val="center"/>
              <w:rPr>
                <w:rFonts w:ascii="宋体" w:hAnsi="宋体"/>
                <w:color w:val="000000"/>
                <w:sz w:val="18"/>
                <w:szCs w:val="18"/>
              </w:rPr>
            </w:pPr>
            <w:r>
              <w:rPr>
                <w:rFonts w:ascii="宋体" w:hAnsi="宋体"/>
                <w:color w:val="000000"/>
                <w:sz w:val="18"/>
                <w:szCs w:val="18"/>
              </w:rPr>
              <w:t>2</w:t>
            </w:r>
          </w:p>
        </w:tc>
        <w:tc>
          <w:tcPr>
            <w:tcW w:w="671" w:type="dxa"/>
            <w:gridSpan w:val="2"/>
            <w:noWrap w:val="0"/>
            <w:vAlign w:val="center"/>
          </w:tcPr>
          <w:p>
            <w:pPr>
              <w:tabs>
                <w:tab w:val="left" w:pos="525"/>
              </w:tabs>
              <w:jc w:val="center"/>
              <w:rPr>
                <w:rFonts w:ascii="宋体" w:hAnsi="宋体"/>
                <w:color w:val="000000"/>
                <w:sz w:val="18"/>
                <w:szCs w:val="18"/>
              </w:rPr>
            </w:pPr>
            <w:r>
              <w:rPr>
                <w:rFonts w:ascii="宋体" w:hAnsi="宋体"/>
                <w:color w:val="000000"/>
                <w:sz w:val="18"/>
                <w:szCs w:val="18"/>
              </w:rPr>
              <w:t>3</w:t>
            </w:r>
          </w:p>
        </w:tc>
        <w:tc>
          <w:tcPr>
            <w:tcW w:w="815" w:type="dxa"/>
            <w:noWrap w:val="0"/>
            <w:vAlign w:val="center"/>
          </w:tcPr>
          <w:p>
            <w:pPr>
              <w:tabs>
                <w:tab w:val="left" w:pos="525"/>
              </w:tabs>
              <w:jc w:val="center"/>
              <w:rPr>
                <w:rFonts w:ascii="宋体" w:hAnsi="宋体"/>
                <w:color w:val="000000"/>
                <w:sz w:val="18"/>
                <w:szCs w:val="18"/>
              </w:rPr>
            </w:pPr>
            <w:r>
              <w:rPr>
                <w:rFonts w:ascii="宋体" w:hAnsi="宋体"/>
                <w:color w:val="000000"/>
                <w:sz w:val="18"/>
                <w:szCs w:val="18"/>
              </w:rPr>
              <w:t>4</w:t>
            </w:r>
          </w:p>
        </w:tc>
        <w:tc>
          <w:tcPr>
            <w:tcW w:w="815" w:type="dxa"/>
            <w:gridSpan w:val="2"/>
            <w:noWrap w:val="0"/>
            <w:vAlign w:val="center"/>
          </w:tcPr>
          <w:p>
            <w:pPr>
              <w:tabs>
                <w:tab w:val="left" w:pos="525"/>
              </w:tabs>
              <w:jc w:val="center"/>
              <w:rPr>
                <w:rFonts w:ascii="宋体" w:hAnsi="宋体"/>
                <w:color w:val="000000"/>
                <w:sz w:val="18"/>
                <w:szCs w:val="18"/>
              </w:rPr>
            </w:pPr>
            <w:r>
              <w:rPr>
                <w:rFonts w:ascii="宋体" w:hAnsi="宋体"/>
                <w:color w:val="000000"/>
                <w:sz w:val="18"/>
                <w:szCs w:val="18"/>
              </w:rPr>
              <w:t>5</w:t>
            </w:r>
          </w:p>
        </w:tc>
        <w:tc>
          <w:tcPr>
            <w:tcW w:w="816" w:type="dxa"/>
            <w:noWrap w:val="0"/>
            <w:vAlign w:val="center"/>
          </w:tcPr>
          <w:p>
            <w:pPr>
              <w:tabs>
                <w:tab w:val="left" w:pos="525"/>
              </w:tabs>
              <w:jc w:val="center"/>
              <w:rPr>
                <w:rFonts w:ascii="宋体" w:hAnsi="宋体"/>
                <w:color w:val="000000"/>
                <w:sz w:val="18"/>
                <w:szCs w:val="18"/>
              </w:rPr>
            </w:pPr>
            <w:r>
              <w:rPr>
                <w:rFonts w:ascii="宋体" w:hAnsi="宋体"/>
                <w:color w:val="000000"/>
                <w:sz w:val="18"/>
                <w:szCs w:val="18"/>
              </w:rPr>
              <w:t>6</w:t>
            </w:r>
          </w:p>
        </w:tc>
        <w:tc>
          <w:tcPr>
            <w:tcW w:w="815" w:type="dxa"/>
            <w:gridSpan w:val="2"/>
            <w:noWrap w:val="0"/>
            <w:vAlign w:val="center"/>
          </w:tcPr>
          <w:p>
            <w:pPr>
              <w:tabs>
                <w:tab w:val="left" w:pos="525"/>
              </w:tabs>
              <w:jc w:val="center"/>
              <w:rPr>
                <w:rFonts w:ascii="宋体" w:hAnsi="宋体"/>
                <w:color w:val="000000"/>
                <w:sz w:val="18"/>
                <w:szCs w:val="18"/>
              </w:rPr>
            </w:pPr>
            <w:r>
              <w:rPr>
                <w:rFonts w:ascii="宋体" w:hAnsi="宋体"/>
                <w:color w:val="000000"/>
                <w:sz w:val="18"/>
                <w:szCs w:val="18"/>
              </w:rPr>
              <w:t>7</w:t>
            </w:r>
          </w:p>
        </w:tc>
        <w:tc>
          <w:tcPr>
            <w:tcW w:w="816" w:type="dxa"/>
            <w:noWrap w:val="0"/>
            <w:vAlign w:val="center"/>
          </w:tcPr>
          <w:p>
            <w:pPr>
              <w:tabs>
                <w:tab w:val="left" w:pos="525"/>
              </w:tabs>
              <w:jc w:val="center"/>
              <w:rPr>
                <w:rFonts w:ascii="宋体" w:hAnsi="宋体"/>
                <w:color w:val="000000"/>
                <w:sz w:val="18"/>
                <w:szCs w:val="18"/>
              </w:rPr>
            </w:pPr>
            <w:r>
              <w:rPr>
                <w:rFonts w:ascii="宋体" w:hAnsi="宋体"/>
                <w:color w:val="000000"/>
                <w:sz w:val="18"/>
                <w:szCs w:val="1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10" w:type="dxa"/>
            <w:vMerge w:val="continue"/>
            <w:noWrap w:val="0"/>
            <w:vAlign w:val="top"/>
          </w:tcPr>
          <w:p>
            <w:pPr>
              <w:tabs>
                <w:tab w:val="left" w:pos="525"/>
              </w:tabs>
              <w:jc w:val="left"/>
              <w:rPr>
                <w:rFonts w:ascii="宋体" w:hAnsi="宋体"/>
                <w:color w:val="000000"/>
                <w:sz w:val="18"/>
                <w:szCs w:val="18"/>
              </w:rPr>
            </w:pPr>
          </w:p>
        </w:tc>
        <w:tc>
          <w:tcPr>
            <w:tcW w:w="420" w:type="dxa"/>
            <w:gridSpan w:val="2"/>
            <w:vMerge w:val="restart"/>
            <w:noWrap w:val="0"/>
            <w:vAlign w:val="center"/>
          </w:tcPr>
          <w:p>
            <w:pPr>
              <w:tabs>
                <w:tab w:val="left" w:pos="525"/>
              </w:tabs>
              <w:jc w:val="center"/>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学分</w:t>
            </w:r>
          </w:p>
          <w:p>
            <w:pPr>
              <w:tabs>
                <w:tab w:val="left" w:pos="525"/>
              </w:tabs>
              <w:jc w:val="center"/>
              <w:rPr>
                <w:rFonts w:ascii="宋体" w:hAnsi="宋体"/>
                <w:color w:val="000000"/>
                <w:sz w:val="18"/>
                <w:szCs w:val="18"/>
              </w:rPr>
            </w:pPr>
          </w:p>
        </w:tc>
        <w:tc>
          <w:tcPr>
            <w:tcW w:w="1843" w:type="dxa"/>
            <w:gridSpan w:val="2"/>
            <w:noWrap w:val="0"/>
            <w:vAlign w:val="center"/>
          </w:tcPr>
          <w:p>
            <w:pPr>
              <w:tabs>
                <w:tab w:val="left" w:pos="525"/>
              </w:tabs>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通识教育大类必修课</w:t>
            </w:r>
          </w:p>
        </w:tc>
        <w:tc>
          <w:tcPr>
            <w:tcW w:w="610" w:type="dxa"/>
            <w:noWrap w:val="0"/>
            <w:vAlign w:val="center"/>
          </w:tcPr>
          <w:p>
            <w:pPr>
              <w:tabs>
                <w:tab w:val="left" w:pos="525"/>
              </w:tabs>
              <w:jc w:val="center"/>
              <w:rPr>
                <w:rFonts w:ascii="宋体" w:hAnsi="宋体"/>
                <w:color w:val="000000"/>
                <w:sz w:val="18"/>
                <w:szCs w:val="18"/>
              </w:rPr>
            </w:pPr>
          </w:p>
        </w:tc>
        <w:tc>
          <w:tcPr>
            <w:tcW w:w="641" w:type="dxa"/>
            <w:noWrap w:val="0"/>
            <w:vAlign w:val="center"/>
          </w:tcPr>
          <w:p>
            <w:pPr>
              <w:tabs>
                <w:tab w:val="left" w:pos="525"/>
              </w:tabs>
              <w:jc w:val="center"/>
              <w:rPr>
                <w:rFonts w:ascii="宋体" w:hAnsi="宋体"/>
                <w:color w:val="000000"/>
                <w:sz w:val="18"/>
                <w:szCs w:val="18"/>
              </w:rPr>
            </w:pPr>
          </w:p>
        </w:tc>
        <w:tc>
          <w:tcPr>
            <w:tcW w:w="671" w:type="dxa"/>
            <w:gridSpan w:val="2"/>
            <w:noWrap w:val="0"/>
            <w:vAlign w:val="center"/>
          </w:tcPr>
          <w:p>
            <w:pPr>
              <w:tabs>
                <w:tab w:val="left" w:pos="525"/>
              </w:tabs>
              <w:jc w:val="center"/>
              <w:rPr>
                <w:rFonts w:ascii="宋体" w:hAnsi="宋体"/>
                <w:color w:val="000000"/>
                <w:sz w:val="18"/>
                <w:szCs w:val="18"/>
              </w:rPr>
            </w:pPr>
          </w:p>
        </w:tc>
        <w:tc>
          <w:tcPr>
            <w:tcW w:w="815"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top"/>
          </w:tcPr>
          <w:p>
            <w:pPr>
              <w:tabs>
                <w:tab w:val="left" w:pos="525"/>
              </w:tabs>
              <w:jc w:val="left"/>
              <w:rPr>
                <w:rFonts w:ascii="宋体" w:hAnsi="宋体"/>
                <w:color w:val="000000"/>
                <w:sz w:val="18"/>
                <w:szCs w:val="18"/>
              </w:rPr>
            </w:pPr>
          </w:p>
        </w:tc>
        <w:tc>
          <w:tcPr>
            <w:tcW w:w="420" w:type="dxa"/>
            <w:gridSpan w:val="2"/>
            <w:vMerge w:val="continue"/>
            <w:noWrap w:val="0"/>
            <w:vAlign w:val="center"/>
          </w:tcPr>
          <w:p>
            <w:pPr>
              <w:tabs>
                <w:tab w:val="left" w:pos="525"/>
              </w:tabs>
              <w:jc w:val="center"/>
              <w:rPr>
                <w:rFonts w:hint="eastAsia" w:ascii="宋体" w:hAnsi="宋体"/>
                <w:color w:val="000000"/>
                <w:sz w:val="18"/>
                <w:szCs w:val="18"/>
              </w:rPr>
            </w:pPr>
          </w:p>
        </w:tc>
        <w:tc>
          <w:tcPr>
            <w:tcW w:w="1843" w:type="dxa"/>
            <w:gridSpan w:val="2"/>
            <w:noWrap w:val="0"/>
            <w:vAlign w:val="center"/>
          </w:tcPr>
          <w:p>
            <w:pPr>
              <w:tabs>
                <w:tab w:val="left" w:pos="525"/>
              </w:tabs>
              <w:jc w:val="center"/>
              <w:rPr>
                <w:rFonts w:hint="eastAsia" w:ascii="宋体" w:hAnsi="宋体" w:eastAsia="宋体"/>
                <w:color w:val="000000"/>
                <w:sz w:val="18"/>
                <w:szCs w:val="18"/>
                <w:lang w:eastAsia="zh-CN"/>
              </w:rPr>
            </w:pPr>
            <w:r>
              <w:rPr>
                <w:rFonts w:hint="eastAsia" w:ascii="宋体" w:hAnsi="宋体"/>
                <w:color w:val="000000"/>
                <w:sz w:val="18"/>
                <w:szCs w:val="18"/>
                <w:lang w:eastAsia="zh-CN"/>
              </w:rPr>
              <w:t>通识教育选修课</w:t>
            </w:r>
          </w:p>
        </w:tc>
        <w:tc>
          <w:tcPr>
            <w:tcW w:w="610" w:type="dxa"/>
            <w:noWrap w:val="0"/>
            <w:vAlign w:val="center"/>
          </w:tcPr>
          <w:p>
            <w:pPr>
              <w:tabs>
                <w:tab w:val="left" w:pos="525"/>
              </w:tabs>
              <w:jc w:val="center"/>
              <w:rPr>
                <w:rFonts w:ascii="宋体" w:hAnsi="宋体"/>
                <w:color w:val="000000"/>
                <w:sz w:val="18"/>
                <w:szCs w:val="18"/>
              </w:rPr>
            </w:pPr>
          </w:p>
        </w:tc>
        <w:tc>
          <w:tcPr>
            <w:tcW w:w="641" w:type="dxa"/>
            <w:noWrap w:val="0"/>
            <w:vAlign w:val="center"/>
          </w:tcPr>
          <w:p>
            <w:pPr>
              <w:tabs>
                <w:tab w:val="left" w:pos="525"/>
              </w:tabs>
              <w:jc w:val="center"/>
              <w:rPr>
                <w:rFonts w:ascii="宋体" w:hAnsi="宋体"/>
                <w:color w:val="000000"/>
                <w:sz w:val="18"/>
                <w:szCs w:val="18"/>
              </w:rPr>
            </w:pPr>
          </w:p>
        </w:tc>
        <w:tc>
          <w:tcPr>
            <w:tcW w:w="671" w:type="dxa"/>
            <w:gridSpan w:val="2"/>
            <w:noWrap w:val="0"/>
            <w:vAlign w:val="center"/>
          </w:tcPr>
          <w:p>
            <w:pPr>
              <w:tabs>
                <w:tab w:val="left" w:pos="525"/>
              </w:tabs>
              <w:jc w:val="center"/>
              <w:rPr>
                <w:rFonts w:ascii="宋体" w:hAnsi="宋体"/>
                <w:color w:val="000000"/>
                <w:sz w:val="18"/>
                <w:szCs w:val="18"/>
              </w:rPr>
            </w:pPr>
          </w:p>
        </w:tc>
        <w:tc>
          <w:tcPr>
            <w:tcW w:w="815"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top"/>
          </w:tcPr>
          <w:p>
            <w:pPr>
              <w:tabs>
                <w:tab w:val="left" w:pos="525"/>
              </w:tabs>
              <w:jc w:val="left"/>
              <w:rPr>
                <w:rFonts w:ascii="宋体" w:hAnsi="宋体"/>
                <w:color w:val="000000"/>
                <w:sz w:val="18"/>
                <w:szCs w:val="18"/>
              </w:rPr>
            </w:pPr>
          </w:p>
        </w:tc>
        <w:tc>
          <w:tcPr>
            <w:tcW w:w="420" w:type="dxa"/>
            <w:gridSpan w:val="2"/>
            <w:vMerge w:val="continue"/>
            <w:noWrap w:val="0"/>
            <w:vAlign w:val="center"/>
          </w:tcPr>
          <w:p>
            <w:pPr>
              <w:tabs>
                <w:tab w:val="left" w:pos="525"/>
              </w:tabs>
              <w:jc w:val="center"/>
              <w:rPr>
                <w:rFonts w:ascii="宋体" w:hAnsi="宋体"/>
                <w:color w:val="000000"/>
                <w:sz w:val="18"/>
                <w:szCs w:val="18"/>
              </w:rPr>
            </w:pPr>
          </w:p>
        </w:tc>
        <w:tc>
          <w:tcPr>
            <w:tcW w:w="1843" w:type="dxa"/>
            <w:gridSpan w:val="2"/>
            <w:noWrap w:val="0"/>
            <w:tcMar>
              <w:left w:w="0" w:type="dxa"/>
              <w:right w:w="0" w:type="dxa"/>
            </w:tcMar>
            <w:vAlign w:val="center"/>
          </w:tcPr>
          <w:p>
            <w:pPr>
              <w:tabs>
                <w:tab w:val="left" w:pos="525"/>
              </w:tabs>
              <w:jc w:val="center"/>
              <w:rPr>
                <w:rFonts w:hint="eastAsia" w:ascii="宋体" w:hAnsi="宋体" w:eastAsia="宋体"/>
                <w:color w:val="000000"/>
                <w:sz w:val="18"/>
                <w:szCs w:val="18"/>
                <w:lang w:eastAsia="zh-CN"/>
              </w:rPr>
            </w:pPr>
            <w:r>
              <w:rPr>
                <w:rFonts w:hint="eastAsia" w:ascii="宋体" w:hAnsi="宋体"/>
                <w:color w:val="000000"/>
                <w:sz w:val="18"/>
                <w:szCs w:val="18"/>
                <w:lang w:eastAsia="zh-CN"/>
              </w:rPr>
              <w:t>学科（专业）基础课</w:t>
            </w:r>
          </w:p>
        </w:tc>
        <w:tc>
          <w:tcPr>
            <w:tcW w:w="610" w:type="dxa"/>
            <w:noWrap w:val="0"/>
            <w:vAlign w:val="center"/>
          </w:tcPr>
          <w:p>
            <w:pPr>
              <w:tabs>
                <w:tab w:val="left" w:pos="525"/>
              </w:tabs>
              <w:jc w:val="center"/>
              <w:rPr>
                <w:rFonts w:ascii="宋体" w:hAnsi="宋体"/>
                <w:color w:val="000000"/>
                <w:sz w:val="18"/>
                <w:szCs w:val="18"/>
              </w:rPr>
            </w:pPr>
          </w:p>
        </w:tc>
        <w:tc>
          <w:tcPr>
            <w:tcW w:w="641" w:type="dxa"/>
            <w:noWrap w:val="0"/>
            <w:vAlign w:val="center"/>
          </w:tcPr>
          <w:p>
            <w:pPr>
              <w:tabs>
                <w:tab w:val="left" w:pos="525"/>
              </w:tabs>
              <w:jc w:val="center"/>
              <w:rPr>
                <w:rFonts w:ascii="宋体" w:hAnsi="宋体"/>
                <w:color w:val="000000"/>
                <w:sz w:val="18"/>
                <w:szCs w:val="18"/>
              </w:rPr>
            </w:pPr>
          </w:p>
        </w:tc>
        <w:tc>
          <w:tcPr>
            <w:tcW w:w="671" w:type="dxa"/>
            <w:gridSpan w:val="2"/>
            <w:noWrap w:val="0"/>
            <w:vAlign w:val="center"/>
          </w:tcPr>
          <w:p>
            <w:pPr>
              <w:tabs>
                <w:tab w:val="left" w:pos="525"/>
              </w:tabs>
              <w:jc w:val="center"/>
              <w:rPr>
                <w:rFonts w:ascii="宋体" w:hAnsi="宋体"/>
                <w:color w:val="000000"/>
                <w:sz w:val="18"/>
                <w:szCs w:val="18"/>
              </w:rPr>
            </w:pPr>
          </w:p>
        </w:tc>
        <w:tc>
          <w:tcPr>
            <w:tcW w:w="815"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10" w:type="dxa"/>
            <w:vMerge w:val="continue"/>
            <w:noWrap w:val="0"/>
            <w:vAlign w:val="top"/>
          </w:tcPr>
          <w:p>
            <w:pPr>
              <w:tabs>
                <w:tab w:val="left" w:pos="525"/>
              </w:tabs>
              <w:jc w:val="left"/>
              <w:rPr>
                <w:rFonts w:ascii="宋体" w:hAnsi="宋体"/>
                <w:color w:val="000000"/>
                <w:sz w:val="18"/>
                <w:szCs w:val="18"/>
              </w:rPr>
            </w:pPr>
          </w:p>
        </w:tc>
        <w:tc>
          <w:tcPr>
            <w:tcW w:w="420" w:type="dxa"/>
            <w:gridSpan w:val="2"/>
            <w:vMerge w:val="continue"/>
            <w:noWrap w:val="0"/>
            <w:vAlign w:val="center"/>
          </w:tcPr>
          <w:p>
            <w:pPr>
              <w:tabs>
                <w:tab w:val="left" w:pos="525"/>
              </w:tabs>
              <w:jc w:val="center"/>
              <w:rPr>
                <w:rFonts w:hint="eastAsia" w:ascii="宋体" w:hAnsi="宋体" w:eastAsia="宋体" w:cs="Times New Roman"/>
                <w:color w:val="000000"/>
                <w:kern w:val="2"/>
                <w:sz w:val="18"/>
                <w:szCs w:val="18"/>
                <w:lang w:val="en-US" w:eastAsia="zh-CN" w:bidi="ar-SA"/>
              </w:rPr>
            </w:pPr>
          </w:p>
        </w:tc>
        <w:tc>
          <w:tcPr>
            <w:tcW w:w="1843" w:type="dxa"/>
            <w:gridSpan w:val="2"/>
            <w:noWrap w:val="0"/>
            <w:tcMar>
              <w:left w:w="0" w:type="dxa"/>
              <w:right w:w="0" w:type="dxa"/>
            </w:tcMar>
            <w:vAlign w:val="center"/>
          </w:tcPr>
          <w:p>
            <w:pPr>
              <w:tabs>
                <w:tab w:val="left" w:pos="525"/>
              </w:tabs>
              <w:jc w:val="center"/>
              <w:rPr>
                <w:rFonts w:hint="eastAsia" w:ascii="宋体" w:hAnsi="宋体" w:eastAsia="宋体"/>
                <w:color w:val="000000"/>
                <w:sz w:val="18"/>
                <w:szCs w:val="18"/>
                <w:lang w:eastAsia="zh-CN"/>
              </w:rPr>
            </w:pPr>
            <w:r>
              <w:rPr>
                <w:rFonts w:hint="eastAsia" w:ascii="宋体" w:hAnsi="宋体"/>
                <w:color w:val="000000"/>
                <w:sz w:val="18"/>
                <w:szCs w:val="18"/>
                <w:lang w:eastAsia="zh-CN"/>
              </w:rPr>
              <w:t>专业必修课</w:t>
            </w:r>
          </w:p>
        </w:tc>
        <w:tc>
          <w:tcPr>
            <w:tcW w:w="610" w:type="dxa"/>
            <w:noWrap w:val="0"/>
            <w:vAlign w:val="center"/>
          </w:tcPr>
          <w:p>
            <w:pPr>
              <w:tabs>
                <w:tab w:val="left" w:pos="525"/>
              </w:tabs>
              <w:jc w:val="center"/>
              <w:rPr>
                <w:rFonts w:ascii="宋体" w:hAnsi="宋体"/>
                <w:color w:val="000000"/>
                <w:sz w:val="18"/>
                <w:szCs w:val="18"/>
              </w:rPr>
            </w:pPr>
          </w:p>
        </w:tc>
        <w:tc>
          <w:tcPr>
            <w:tcW w:w="641" w:type="dxa"/>
            <w:noWrap w:val="0"/>
            <w:vAlign w:val="center"/>
          </w:tcPr>
          <w:p>
            <w:pPr>
              <w:tabs>
                <w:tab w:val="left" w:pos="525"/>
              </w:tabs>
              <w:jc w:val="center"/>
              <w:rPr>
                <w:rFonts w:ascii="宋体" w:hAnsi="宋体"/>
                <w:color w:val="000000"/>
                <w:sz w:val="18"/>
                <w:szCs w:val="18"/>
              </w:rPr>
            </w:pPr>
          </w:p>
        </w:tc>
        <w:tc>
          <w:tcPr>
            <w:tcW w:w="671" w:type="dxa"/>
            <w:gridSpan w:val="2"/>
            <w:noWrap w:val="0"/>
            <w:vAlign w:val="center"/>
          </w:tcPr>
          <w:p>
            <w:pPr>
              <w:tabs>
                <w:tab w:val="left" w:pos="525"/>
              </w:tabs>
              <w:jc w:val="center"/>
              <w:rPr>
                <w:rFonts w:ascii="宋体" w:hAnsi="宋体"/>
                <w:color w:val="000000"/>
                <w:sz w:val="18"/>
                <w:szCs w:val="18"/>
              </w:rPr>
            </w:pPr>
          </w:p>
        </w:tc>
        <w:tc>
          <w:tcPr>
            <w:tcW w:w="815"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top"/>
          </w:tcPr>
          <w:p>
            <w:pPr>
              <w:tabs>
                <w:tab w:val="left" w:pos="525"/>
              </w:tabs>
              <w:jc w:val="left"/>
              <w:rPr>
                <w:rFonts w:ascii="宋体" w:hAnsi="宋体"/>
                <w:color w:val="000000"/>
                <w:sz w:val="18"/>
                <w:szCs w:val="18"/>
              </w:rPr>
            </w:pPr>
          </w:p>
        </w:tc>
        <w:tc>
          <w:tcPr>
            <w:tcW w:w="420" w:type="dxa"/>
            <w:gridSpan w:val="2"/>
            <w:vMerge w:val="continue"/>
            <w:noWrap w:val="0"/>
            <w:vAlign w:val="center"/>
          </w:tcPr>
          <w:p>
            <w:pPr>
              <w:tabs>
                <w:tab w:val="left" w:pos="525"/>
              </w:tabs>
              <w:jc w:val="center"/>
              <w:rPr>
                <w:rFonts w:hint="eastAsia" w:ascii="宋体" w:hAnsi="宋体" w:eastAsia="宋体" w:cs="Times New Roman"/>
                <w:color w:val="000000"/>
                <w:kern w:val="2"/>
                <w:sz w:val="18"/>
                <w:szCs w:val="18"/>
                <w:lang w:val="en-US" w:eastAsia="zh-CN" w:bidi="ar-SA"/>
              </w:rPr>
            </w:pPr>
          </w:p>
        </w:tc>
        <w:tc>
          <w:tcPr>
            <w:tcW w:w="1843" w:type="dxa"/>
            <w:gridSpan w:val="2"/>
            <w:noWrap w:val="0"/>
            <w:tcMar>
              <w:left w:w="0" w:type="dxa"/>
              <w:right w:w="0" w:type="dxa"/>
            </w:tcMar>
            <w:vAlign w:val="center"/>
          </w:tcPr>
          <w:p>
            <w:pPr>
              <w:tabs>
                <w:tab w:val="left" w:pos="525"/>
              </w:tabs>
              <w:jc w:val="center"/>
              <w:rPr>
                <w:rFonts w:hint="eastAsia" w:ascii="宋体" w:hAnsi="宋体"/>
                <w:color w:val="000000"/>
                <w:sz w:val="18"/>
                <w:szCs w:val="18"/>
                <w:lang w:eastAsia="zh-CN"/>
              </w:rPr>
            </w:pPr>
            <w:r>
              <w:rPr>
                <w:rFonts w:hint="eastAsia" w:ascii="宋体" w:hAnsi="宋体"/>
                <w:color w:val="000000"/>
                <w:sz w:val="18"/>
                <w:szCs w:val="18"/>
                <w:lang w:eastAsia="zh-CN"/>
              </w:rPr>
              <w:t>专业选修课</w:t>
            </w:r>
          </w:p>
        </w:tc>
        <w:tc>
          <w:tcPr>
            <w:tcW w:w="610" w:type="dxa"/>
            <w:noWrap w:val="0"/>
            <w:vAlign w:val="center"/>
          </w:tcPr>
          <w:p>
            <w:pPr>
              <w:tabs>
                <w:tab w:val="left" w:pos="525"/>
              </w:tabs>
              <w:jc w:val="center"/>
              <w:rPr>
                <w:rFonts w:ascii="宋体" w:hAnsi="宋体"/>
                <w:color w:val="000000"/>
                <w:sz w:val="18"/>
                <w:szCs w:val="18"/>
              </w:rPr>
            </w:pPr>
          </w:p>
        </w:tc>
        <w:tc>
          <w:tcPr>
            <w:tcW w:w="641" w:type="dxa"/>
            <w:noWrap w:val="0"/>
            <w:vAlign w:val="center"/>
          </w:tcPr>
          <w:p>
            <w:pPr>
              <w:tabs>
                <w:tab w:val="left" w:pos="525"/>
              </w:tabs>
              <w:jc w:val="center"/>
              <w:rPr>
                <w:rFonts w:ascii="宋体" w:hAnsi="宋体"/>
                <w:color w:val="000000"/>
                <w:sz w:val="18"/>
                <w:szCs w:val="18"/>
              </w:rPr>
            </w:pPr>
          </w:p>
        </w:tc>
        <w:tc>
          <w:tcPr>
            <w:tcW w:w="671" w:type="dxa"/>
            <w:gridSpan w:val="2"/>
            <w:noWrap w:val="0"/>
            <w:vAlign w:val="center"/>
          </w:tcPr>
          <w:p>
            <w:pPr>
              <w:tabs>
                <w:tab w:val="left" w:pos="525"/>
              </w:tabs>
              <w:jc w:val="center"/>
              <w:rPr>
                <w:rFonts w:ascii="宋体" w:hAnsi="宋体"/>
                <w:color w:val="000000"/>
                <w:sz w:val="18"/>
                <w:szCs w:val="18"/>
              </w:rPr>
            </w:pPr>
          </w:p>
        </w:tc>
        <w:tc>
          <w:tcPr>
            <w:tcW w:w="815"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top"/>
          </w:tcPr>
          <w:p>
            <w:pPr>
              <w:tabs>
                <w:tab w:val="left" w:pos="525"/>
              </w:tabs>
              <w:jc w:val="left"/>
              <w:rPr>
                <w:rFonts w:ascii="宋体" w:hAnsi="宋体"/>
                <w:color w:val="000000"/>
                <w:sz w:val="18"/>
                <w:szCs w:val="18"/>
              </w:rPr>
            </w:pPr>
          </w:p>
        </w:tc>
        <w:tc>
          <w:tcPr>
            <w:tcW w:w="420" w:type="dxa"/>
            <w:gridSpan w:val="2"/>
            <w:vMerge w:val="continue"/>
            <w:noWrap w:val="0"/>
            <w:vAlign w:val="center"/>
          </w:tcPr>
          <w:p>
            <w:pPr>
              <w:tabs>
                <w:tab w:val="left" w:pos="525"/>
              </w:tabs>
              <w:jc w:val="center"/>
              <w:rPr>
                <w:rFonts w:hint="eastAsia" w:ascii="宋体" w:hAnsi="宋体" w:eastAsia="宋体" w:cs="Times New Roman"/>
                <w:color w:val="000000"/>
                <w:kern w:val="2"/>
                <w:sz w:val="18"/>
                <w:szCs w:val="18"/>
                <w:lang w:val="en-US" w:eastAsia="zh-CN" w:bidi="ar-SA"/>
              </w:rPr>
            </w:pPr>
          </w:p>
        </w:tc>
        <w:tc>
          <w:tcPr>
            <w:tcW w:w="1843" w:type="dxa"/>
            <w:gridSpan w:val="2"/>
            <w:noWrap w:val="0"/>
            <w:tcMar>
              <w:left w:w="0" w:type="dxa"/>
              <w:right w:w="0" w:type="dxa"/>
            </w:tcMar>
            <w:vAlign w:val="center"/>
          </w:tcPr>
          <w:p>
            <w:pPr>
              <w:tabs>
                <w:tab w:val="left" w:pos="525"/>
              </w:tabs>
              <w:jc w:val="center"/>
              <w:rPr>
                <w:rFonts w:hint="eastAsia" w:ascii="宋体" w:hAnsi="宋体"/>
                <w:color w:val="000000"/>
                <w:sz w:val="18"/>
                <w:szCs w:val="18"/>
                <w:lang w:eastAsia="zh-CN"/>
              </w:rPr>
            </w:pPr>
            <w:r>
              <w:rPr>
                <w:rFonts w:hint="eastAsia" w:ascii="宋体" w:hAnsi="宋体"/>
                <w:color w:val="000000"/>
                <w:sz w:val="18"/>
                <w:szCs w:val="18"/>
                <w:lang w:eastAsia="zh-CN"/>
              </w:rPr>
              <w:t>集中实践课</w:t>
            </w:r>
          </w:p>
        </w:tc>
        <w:tc>
          <w:tcPr>
            <w:tcW w:w="610" w:type="dxa"/>
            <w:noWrap w:val="0"/>
            <w:vAlign w:val="center"/>
          </w:tcPr>
          <w:p>
            <w:pPr>
              <w:tabs>
                <w:tab w:val="left" w:pos="525"/>
              </w:tabs>
              <w:jc w:val="center"/>
              <w:rPr>
                <w:rFonts w:ascii="宋体" w:hAnsi="宋体"/>
                <w:color w:val="000000"/>
                <w:sz w:val="18"/>
                <w:szCs w:val="18"/>
              </w:rPr>
            </w:pPr>
          </w:p>
        </w:tc>
        <w:tc>
          <w:tcPr>
            <w:tcW w:w="641" w:type="dxa"/>
            <w:noWrap w:val="0"/>
            <w:vAlign w:val="center"/>
          </w:tcPr>
          <w:p>
            <w:pPr>
              <w:tabs>
                <w:tab w:val="left" w:pos="525"/>
              </w:tabs>
              <w:jc w:val="center"/>
              <w:rPr>
                <w:rFonts w:ascii="宋体" w:hAnsi="宋体"/>
                <w:color w:val="000000"/>
                <w:sz w:val="18"/>
                <w:szCs w:val="18"/>
              </w:rPr>
            </w:pPr>
          </w:p>
        </w:tc>
        <w:tc>
          <w:tcPr>
            <w:tcW w:w="671" w:type="dxa"/>
            <w:gridSpan w:val="2"/>
            <w:noWrap w:val="0"/>
            <w:vAlign w:val="center"/>
          </w:tcPr>
          <w:p>
            <w:pPr>
              <w:tabs>
                <w:tab w:val="left" w:pos="525"/>
              </w:tabs>
              <w:jc w:val="center"/>
              <w:rPr>
                <w:rFonts w:ascii="宋体" w:hAnsi="宋体"/>
                <w:color w:val="000000"/>
                <w:sz w:val="18"/>
                <w:szCs w:val="18"/>
              </w:rPr>
            </w:pPr>
          </w:p>
        </w:tc>
        <w:tc>
          <w:tcPr>
            <w:tcW w:w="815"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10" w:type="dxa"/>
            <w:vMerge w:val="continue"/>
            <w:noWrap w:val="0"/>
            <w:vAlign w:val="top"/>
          </w:tcPr>
          <w:p>
            <w:pPr>
              <w:tabs>
                <w:tab w:val="left" w:pos="525"/>
              </w:tabs>
              <w:jc w:val="left"/>
              <w:rPr>
                <w:rFonts w:ascii="宋体" w:hAnsi="宋体"/>
                <w:color w:val="000000"/>
                <w:sz w:val="18"/>
                <w:szCs w:val="18"/>
              </w:rPr>
            </w:pPr>
          </w:p>
        </w:tc>
        <w:tc>
          <w:tcPr>
            <w:tcW w:w="420" w:type="dxa"/>
            <w:gridSpan w:val="2"/>
            <w:vMerge w:val="continue"/>
            <w:noWrap w:val="0"/>
            <w:vAlign w:val="center"/>
          </w:tcPr>
          <w:p>
            <w:pPr>
              <w:tabs>
                <w:tab w:val="left" w:pos="525"/>
              </w:tabs>
              <w:jc w:val="center"/>
              <w:rPr>
                <w:rFonts w:hint="eastAsia" w:ascii="宋体" w:hAnsi="宋体" w:eastAsia="宋体" w:cs="Times New Roman"/>
                <w:color w:val="000000"/>
                <w:kern w:val="2"/>
                <w:sz w:val="18"/>
                <w:szCs w:val="18"/>
                <w:lang w:val="en-US" w:eastAsia="zh-CN" w:bidi="ar-SA"/>
              </w:rPr>
            </w:pPr>
          </w:p>
        </w:tc>
        <w:tc>
          <w:tcPr>
            <w:tcW w:w="1843" w:type="dxa"/>
            <w:gridSpan w:val="2"/>
            <w:noWrap w:val="0"/>
            <w:tcMar>
              <w:left w:w="0" w:type="dxa"/>
              <w:right w:w="0" w:type="dxa"/>
            </w:tcMar>
            <w:vAlign w:val="center"/>
          </w:tcPr>
          <w:p>
            <w:pPr>
              <w:tabs>
                <w:tab w:val="left" w:pos="525"/>
              </w:tabs>
              <w:jc w:val="center"/>
              <w:rPr>
                <w:rFonts w:hint="eastAsia" w:ascii="宋体" w:hAnsi="宋体"/>
                <w:color w:val="000000"/>
                <w:sz w:val="18"/>
                <w:szCs w:val="18"/>
                <w:lang w:eastAsia="zh-CN"/>
              </w:rPr>
            </w:pPr>
            <w:r>
              <w:rPr>
                <w:rFonts w:hint="eastAsia" w:ascii="宋体" w:hAnsi="宋体"/>
                <w:color w:val="000000"/>
                <w:sz w:val="18"/>
                <w:szCs w:val="18"/>
                <w:lang w:eastAsia="zh-CN"/>
              </w:rPr>
              <w:t>合计</w:t>
            </w:r>
          </w:p>
        </w:tc>
        <w:tc>
          <w:tcPr>
            <w:tcW w:w="610" w:type="dxa"/>
            <w:noWrap w:val="0"/>
            <w:vAlign w:val="center"/>
          </w:tcPr>
          <w:p>
            <w:pPr>
              <w:tabs>
                <w:tab w:val="left" w:pos="525"/>
              </w:tabs>
              <w:jc w:val="center"/>
              <w:rPr>
                <w:rFonts w:ascii="宋体" w:hAnsi="宋体"/>
                <w:color w:val="000000"/>
                <w:sz w:val="18"/>
                <w:szCs w:val="18"/>
              </w:rPr>
            </w:pPr>
          </w:p>
        </w:tc>
        <w:tc>
          <w:tcPr>
            <w:tcW w:w="641" w:type="dxa"/>
            <w:noWrap w:val="0"/>
            <w:vAlign w:val="center"/>
          </w:tcPr>
          <w:p>
            <w:pPr>
              <w:tabs>
                <w:tab w:val="left" w:pos="525"/>
              </w:tabs>
              <w:jc w:val="center"/>
              <w:rPr>
                <w:rFonts w:ascii="宋体" w:hAnsi="宋体"/>
                <w:color w:val="000000"/>
                <w:sz w:val="18"/>
                <w:szCs w:val="18"/>
              </w:rPr>
            </w:pPr>
          </w:p>
        </w:tc>
        <w:tc>
          <w:tcPr>
            <w:tcW w:w="671" w:type="dxa"/>
            <w:gridSpan w:val="2"/>
            <w:noWrap w:val="0"/>
            <w:vAlign w:val="center"/>
          </w:tcPr>
          <w:p>
            <w:pPr>
              <w:tabs>
                <w:tab w:val="left" w:pos="525"/>
              </w:tabs>
              <w:jc w:val="center"/>
              <w:rPr>
                <w:rFonts w:ascii="宋体" w:hAnsi="宋体"/>
                <w:color w:val="000000"/>
                <w:sz w:val="18"/>
                <w:szCs w:val="18"/>
              </w:rPr>
            </w:pPr>
          </w:p>
        </w:tc>
        <w:tc>
          <w:tcPr>
            <w:tcW w:w="815"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c>
          <w:tcPr>
            <w:tcW w:w="815" w:type="dxa"/>
            <w:gridSpan w:val="2"/>
            <w:noWrap w:val="0"/>
            <w:vAlign w:val="center"/>
          </w:tcPr>
          <w:p>
            <w:pPr>
              <w:tabs>
                <w:tab w:val="left" w:pos="525"/>
              </w:tabs>
              <w:jc w:val="center"/>
              <w:rPr>
                <w:rFonts w:ascii="宋体" w:hAnsi="宋体"/>
                <w:color w:val="000000"/>
                <w:sz w:val="18"/>
                <w:szCs w:val="18"/>
              </w:rPr>
            </w:pPr>
          </w:p>
        </w:tc>
        <w:tc>
          <w:tcPr>
            <w:tcW w:w="816" w:type="dxa"/>
            <w:noWrap w:val="0"/>
            <w:vAlign w:val="center"/>
          </w:tcPr>
          <w:p>
            <w:pPr>
              <w:tabs>
                <w:tab w:val="left" w:pos="525"/>
              </w:tabs>
              <w:jc w:val="center"/>
              <w:rPr>
                <w:rFonts w:ascii="宋体" w:hAns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072" w:type="dxa"/>
            <w:gridSpan w:val="16"/>
            <w:noWrap w:val="0"/>
            <w:vAlign w:val="top"/>
          </w:tcPr>
          <w:p>
            <w:pPr>
              <w:tabs>
                <w:tab w:val="left" w:pos="525"/>
              </w:tabs>
              <w:spacing w:before="120" w:beforeLines="50"/>
              <w:jc w:val="left"/>
              <w:rPr>
                <w:rFonts w:ascii="宋体" w:hAnsi="宋体"/>
                <w:color w:val="000000"/>
                <w:sz w:val="18"/>
                <w:szCs w:val="18"/>
              </w:rPr>
            </w:pPr>
            <w:r>
              <w:rPr>
                <w:rFonts w:hint="eastAsia" w:ascii="宋体" w:hAnsi="宋体"/>
                <w:color w:val="000000"/>
                <w:sz w:val="18"/>
                <w:szCs w:val="18"/>
              </w:rPr>
              <w:t>专业指导委员会意见：</w:t>
            </w:r>
          </w:p>
          <w:p>
            <w:pPr>
              <w:tabs>
                <w:tab w:val="left" w:pos="525"/>
              </w:tabs>
              <w:jc w:val="left"/>
              <w:rPr>
                <w:rFonts w:ascii="宋体" w:hAnsi="宋体"/>
                <w:color w:val="000000"/>
                <w:sz w:val="18"/>
                <w:szCs w:val="18"/>
              </w:rPr>
            </w:pPr>
          </w:p>
          <w:p>
            <w:pPr>
              <w:tabs>
                <w:tab w:val="left" w:pos="525"/>
              </w:tabs>
              <w:spacing w:after="120" w:afterLines="50"/>
              <w:ind w:left="5548" w:leftChars="1785" w:hanging="1800" w:hangingChars="1000"/>
              <w:jc w:val="left"/>
              <w:rPr>
                <w:rFonts w:ascii="宋体" w:hAnsi="宋体"/>
                <w:color w:val="000000"/>
                <w:sz w:val="18"/>
                <w:szCs w:val="18"/>
              </w:rPr>
            </w:pPr>
            <w:r>
              <w:rPr>
                <w:rFonts w:hint="eastAsia" w:ascii="宋体" w:hAnsi="宋体"/>
                <w:color w:val="000000"/>
                <w:sz w:val="18"/>
                <w:szCs w:val="18"/>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072" w:type="dxa"/>
            <w:gridSpan w:val="16"/>
            <w:noWrap w:val="0"/>
            <w:vAlign w:val="top"/>
          </w:tcPr>
          <w:p>
            <w:pPr>
              <w:tabs>
                <w:tab w:val="left" w:pos="525"/>
              </w:tabs>
              <w:spacing w:before="120" w:beforeLines="50"/>
              <w:jc w:val="left"/>
              <w:rPr>
                <w:rFonts w:ascii="宋体" w:hAnsi="宋体"/>
                <w:color w:val="000000"/>
                <w:sz w:val="18"/>
                <w:szCs w:val="18"/>
              </w:rPr>
            </w:pPr>
            <w:r>
              <w:rPr>
                <w:rFonts w:hint="eastAsia" w:ascii="宋体" w:hAnsi="宋体"/>
                <w:color w:val="000000"/>
                <w:sz w:val="18"/>
                <w:szCs w:val="18"/>
              </w:rPr>
              <w:t>二级学院意见：</w:t>
            </w:r>
          </w:p>
          <w:p>
            <w:pPr>
              <w:tabs>
                <w:tab w:val="left" w:pos="525"/>
              </w:tabs>
              <w:jc w:val="left"/>
              <w:rPr>
                <w:rFonts w:hint="eastAsia" w:ascii="宋体" w:hAnsi="宋体"/>
                <w:color w:val="000000"/>
                <w:sz w:val="18"/>
                <w:szCs w:val="18"/>
              </w:rPr>
            </w:pPr>
          </w:p>
          <w:p>
            <w:pPr>
              <w:tabs>
                <w:tab w:val="left" w:pos="525"/>
              </w:tabs>
              <w:spacing w:after="120" w:afterLines="50"/>
              <w:ind w:left="5728" w:leftChars="1785" w:hanging="1980" w:hangingChars="1100"/>
              <w:jc w:val="left"/>
              <w:rPr>
                <w:rFonts w:ascii="宋体" w:hAnsi="宋体"/>
                <w:color w:val="000000"/>
                <w:sz w:val="18"/>
                <w:szCs w:val="18"/>
              </w:rPr>
            </w:pPr>
            <w:r>
              <w:rPr>
                <w:rFonts w:hint="eastAsia" w:ascii="宋体" w:hAnsi="宋体"/>
                <w:color w:val="000000"/>
                <w:sz w:val="18"/>
                <w:szCs w:val="18"/>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72" w:type="dxa"/>
            <w:gridSpan w:val="16"/>
            <w:noWrap w:val="0"/>
            <w:vAlign w:val="top"/>
          </w:tcPr>
          <w:p>
            <w:pPr>
              <w:tabs>
                <w:tab w:val="left" w:pos="525"/>
              </w:tabs>
              <w:spacing w:before="120" w:beforeLines="50"/>
              <w:jc w:val="left"/>
              <w:rPr>
                <w:rFonts w:hint="eastAsia" w:ascii="宋体" w:hAnsi="宋体"/>
                <w:color w:val="000000"/>
                <w:sz w:val="18"/>
                <w:szCs w:val="18"/>
              </w:rPr>
            </w:pPr>
            <w:r>
              <w:rPr>
                <w:rFonts w:hint="eastAsia" w:ascii="宋体" w:hAnsi="宋体"/>
                <w:color w:val="000000"/>
                <w:sz w:val="18"/>
                <w:szCs w:val="18"/>
              </w:rPr>
              <w:t>教务处审核意见：</w:t>
            </w:r>
          </w:p>
          <w:p>
            <w:pPr>
              <w:tabs>
                <w:tab w:val="left" w:pos="525"/>
              </w:tabs>
              <w:ind w:left="6268" w:leftChars="1785" w:hanging="2520" w:hangingChars="1400"/>
              <w:jc w:val="left"/>
              <w:rPr>
                <w:rFonts w:ascii="宋体" w:hAnsi="宋体"/>
                <w:color w:val="000000"/>
                <w:sz w:val="18"/>
                <w:szCs w:val="18"/>
              </w:rPr>
            </w:pPr>
            <w:r>
              <w:rPr>
                <w:rFonts w:hint="eastAsia" w:ascii="宋体" w:hAnsi="宋体"/>
                <w:color w:val="000000"/>
                <w:sz w:val="18"/>
                <w:szCs w:val="18"/>
              </w:rPr>
              <w:t>签字（盖章）：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072" w:type="dxa"/>
            <w:gridSpan w:val="16"/>
            <w:noWrap w:val="0"/>
            <w:vAlign w:val="top"/>
          </w:tcPr>
          <w:p>
            <w:pPr>
              <w:tabs>
                <w:tab w:val="left" w:pos="525"/>
              </w:tabs>
              <w:spacing w:before="120" w:beforeLines="50"/>
              <w:jc w:val="left"/>
              <w:rPr>
                <w:rFonts w:ascii="宋体" w:hAnsi="宋体"/>
                <w:color w:val="000000"/>
                <w:sz w:val="18"/>
                <w:szCs w:val="18"/>
              </w:rPr>
            </w:pPr>
            <w:r>
              <w:rPr>
                <w:rFonts w:hint="eastAsia" w:ascii="宋体" w:hAnsi="宋体"/>
                <w:color w:val="000000"/>
                <w:sz w:val="18"/>
                <w:szCs w:val="18"/>
              </w:rPr>
              <w:t>主管教学校领导意见：</w:t>
            </w:r>
          </w:p>
          <w:p>
            <w:pPr>
              <w:tabs>
                <w:tab w:val="left" w:pos="525"/>
              </w:tabs>
              <w:jc w:val="left"/>
              <w:rPr>
                <w:rFonts w:hint="eastAsia" w:ascii="宋体" w:hAnsi="宋体"/>
                <w:color w:val="000000"/>
                <w:sz w:val="18"/>
                <w:szCs w:val="18"/>
              </w:rPr>
            </w:pPr>
          </w:p>
          <w:p>
            <w:pPr>
              <w:tabs>
                <w:tab w:val="left" w:pos="525"/>
              </w:tabs>
              <w:ind w:left="6088" w:leftChars="1785" w:hanging="2340" w:hangingChars="1300"/>
              <w:jc w:val="left"/>
              <w:rPr>
                <w:rFonts w:ascii="宋体" w:hAnsi="宋体"/>
                <w:color w:val="000000"/>
                <w:sz w:val="18"/>
                <w:szCs w:val="18"/>
              </w:rPr>
            </w:pPr>
            <w:r>
              <w:rPr>
                <w:rFonts w:hint="eastAsia" w:ascii="宋体" w:hAnsi="宋体"/>
                <w:color w:val="000000"/>
                <w:sz w:val="18"/>
                <w:szCs w:val="18"/>
              </w:rPr>
              <w:t>签字（盖章）：　　　　　　　　　　　　　　　　　　　　　　　　　　　　　　年　　月　　日</w:t>
            </w:r>
          </w:p>
        </w:tc>
      </w:tr>
    </w:tbl>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p>
    <w:p>
      <w:pPr>
        <w:jc w:val="center"/>
        <w:rPr>
          <w:rFonts w:ascii="Calibri" w:hAnsi="Calibri" w:eastAsia="黑体"/>
          <w:sz w:val="36"/>
          <w:szCs w:val="36"/>
        </w:rPr>
      </w:pPr>
      <w:r>
        <w:rPr>
          <w:rFonts w:ascii="Calibri" w:hAnsi="Calibri" w:eastAsia="黑体"/>
          <w:sz w:val="36"/>
          <w:szCs w:val="36"/>
        </w:rPr>
        <w:t>***</w:t>
      </w:r>
      <w:r>
        <w:rPr>
          <w:rFonts w:hint="eastAsia" w:ascii="Calibri" w:hAnsi="Calibri" w:eastAsia="黑体"/>
          <w:sz w:val="36"/>
          <w:szCs w:val="36"/>
        </w:rPr>
        <w:t>专业人才培养方案</w:t>
      </w:r>
    </w:p>
    <w:p>
      <w:pPr>
        <w:rPr>
          <w:rFonts w:ascii="Calibri" w:hAnsi="Calibri"/>
          <w:szCs w:val="22"/>
        </w:rPr>
      </w:pPr>
      <w:bookmarkStart w:id="0" w:name="_Toc437189136"/>
      <w:bookmarkStart w:id="1" w:name="_Toc437186889"/>
      <w:bookmarkStart w:id="2" w:name="_Toc437186757"/>
    </w:p>
    <w:p>
      <w:pPr>
        <w:jc w:val="center"/>
        <w:rPr>
          <w:rFonts w:ascii="Calibri" w:hAnsi="Calibri" w:eastAsia="黑体"/>
          <w:szCs w:val="22"/>
        </w:rPr>
      </w:pPr>
      <w:r>
        <w:rPr>
          <w:rFonts w:hint="eastAsia" w:ascii="Calibri" w:hAnsi="Calibri" w:eastAsia="黑体"/>
          <w:szCs w:val="22"/>
        </w:rPr>
        <w:t>专业代码：</w:t>
      </w:r>
      <w:bookmarkEnd w:id="0"/>
      <w:bookmarkEnd w:id="1"/>
      <w:bookmarkEnd w:id="2"/>
      <w:r>
        <w:rPr>
          <w:rFonts w:ascii="Calibri" w:hAnsi="Calibri" w:eastAsia="黑体"/>
          <w:szCs w:val="22"/>
        </w:rPr>
        <w:t xml:space="preserve">  </w:t>
      </w:r>
      <w:r>
        <w:rPr>
          <w:rFonts w:hint="eastAsia" w:ascii="Calibri" w:hAnsi="Calibri" w:eastAsia="黑体"/>
          <w:szCs w:val="22"/>
        </w:rPr>
        <w:t>执笔人：</w:t>
      </w:r>
      <w:r>
        <w:rPr>
          <w:rFonts w:ascii="Calibri" w:hAnsi="Calibri" w:eastAsia="黑体"/>
          <w:szCs w:val="22"/>
        </w:rPr>
        <w:t xml:space="preserve">  </w:t>
      </w:r>
      <w:r>
        <w:rPr>
          <w:rFonts w:hint="eastAsia" w:ascii="Calibri" w:hAnsi="Calibri" w:eastAsia="黑体"/>
          <w:szCs w:val="22"/>
        </w:rPr>
        <w:t>校对人：</w:t>
      </w:r>
      <w:r>
        <w:rPr>
          <w:rFonts w:ascii="Calibri" w:hAnsi="Calibri" w:eastAsia="黑体"/>
          <w:szCs w:val="22"/>
        </w:rPr>
        <w:t xml:space="preserve"> </w:t>
      </w:r>
    </w:p>
    <w:p>
      <w:pPr>
        <w:rPr>
          <w:rFonts w:ascii="Calibri" w:hAnsi="Calibri"/>
          <w:szCs w:val="22"/>
        </w:rPr>
      </w:pPr>
    </w:p>
    <w:p>
      <w:pPr>
        <w:adjustRightInd w:val="0"/>
        <w:snapToGrid w:val="0"/>
        <w:spacing w:before="156" w:beforeLines="50" w:after="156" w:afterLines="50" w:line="360" w:lineRule="exact"/>
        <w:ind w:firstLine="480" w:firstLineChars="200"/>
        <w:rPr>
          <w:rFonts w:ascii="Calibri" w:hAnsi="Calibri" w:eastAsia="黑体"/>
          <w:bCs/>
          <w:sz w:val="24"/>
          <w:szCs w:val="22"/>
        </w:rPr>
      </w:pPr>
      <w:r>
        <w:rPr>
          <w:rFonts w:hint="eastAsia" w:ascii="Calibri" w:hAnsi="Calibri" w:eastAsia="黑体"/>
          <w:bCs/>
          <w:sz w:val="24"/>
          <w:szCs w:val="22"/>
        </w:rPr>
        <w:t>一、专业简介</w:t>
      </w:r>
    </w:p>
    <w:p>
      <w:pPr>
        <w:spacing w:line="360" w:lineRule="exact"/>
        <w:ind w:firstLine="420" w:firstLineChars="200"/>
        <w:jc w:val="left"/>
        <w:rPr>
          <w:rFonts w:ascii="Calibri" w:hAnsi="Calibri"/>
          <w:szCs w:val="21"/>
        </w:rPr>
      </w:pPr>
    </w:p>
    <w:p>
      <w:pPr>
        <w:adjustRightInd w:val="0"/>
        <w:snapToGrid w:val="0"/>
        <w:spacing w:before="156" w:beforeLines="50" w:after="156" w:afterLines="50" w:line="360" w:lineRule="exact"/>
        <w:ind w:firstLine="480" w:firstLineChars="200"/>
        <w:rPr>
          <w:rFonts w:ascii="Calibri" w:hAnsi="Calibri" w:eastAsia="黑体"/>
          <w:bCs/>
          <w:sz w:val="24"/>
          <w:szCs w:val="22"/>
        </w:rPr>
      </w:pPr>
      <w:r>
        <w:rPr>
          <w:rFonts w:hint="eastAsia" w:ascii="Calibri" w:hAnsi="Calibri" w:eastAsia="黑体"/>
          <w:bCs/>
          <w:sz w:val="24"/>
          <w:szCs w:val="22"/>
        </w:rPr>
        <w:t>二、培养目标</w:t>
      </w:r>
    </w:p>
    <w:p>
      <w:pPr>
        <w:spacing w:line="360" w:lineRule="exact"/>
        <w:ind w:firstLine="420" w:firstLineChars="200"/>
        <w:jc w:val="left"/>
        <w:rPr>
          <w:rFonts w:ascii="Calibri" w:hAnsi="Calibri"/>
          <w:szCs w:val="21"/>
        </w:rPr>
      </w:pPr>
    </w:p>
    <w:p>
      <w:pPr>
        <w:adjustRightInd w:val="0"/>
        <w:snapToGrid w:val="0"/>
        <w:spacing w:before="156" w:beforeLines="50" w:after="156" w:afterLines="50" w:line="360" w:lineRule="exact"/>
        <w:ind w:firstLine="480" w:firstLineChars="200"/>
        <w:rPr>
          <w:rFonts w:ascii="Calibri" w:hAnsi="Calibri" w:eastAsia="黑体"/>
          <w:bCs/>
          <w:sz w:val="24"/>
          <w:szCs w:val="22"/>
        </w:rPr>
      </w:pPr>
      <w:r>
        <w:rPr>
          <w:rFonts w:hint="eastAsia" w:ascii="Calibri" w:hAnsi="Calibri" w:eastAsia="黑体"/>
          <w:bCs/>
          <w:sz w:val="24"/>
          <w:szCs w:val="22"/>
        </w:rPr>
        <w:t>三、培养要求</w:t>
      </w:r>
    </w:p>
    <w:p>
      <w:pPr>
        <w:spacing w:line="360" w:lineRule="exact"/>
        <w:ind w:firstLine="420" w:firstLineChars="200"/>
        <w:jc w:val="left"/>
        <w:rPr>
          <w:rFonts w:ascii="Calibri" w:hAnsi="Calibri"/>
          <w:szCs w:val="21"/>
        </w:rPr>
      </w:pPr>
      <w:r>
        <w:rPr>
          <w:rFonts w:ascii="Calibri" w:hAnsi="Calibri"/>
          <w:szCs w:val="21"/>
        </w:rPr>
        <w:t>1</w:t>
      </w:r>
      <w:r>
        <w:rPr>
          <w:rFonts w:hint="eastAsia" w:ascii="Calibri" w:hAnsi="Calibri"/>
          <w:szCs w:val="21"/>
        </w:rPr>
        <w:t>．知识要求</w:t>
      </w:r>
    </w:p>
    <w:p>
      <w:pPr>
        <w:spacing w:line="360" w:lineRule="exact"/>
        <w:ind w:firstLine="420" w:firstLineChars="200"/>
        <w:jc w:val="left"/>
        <w:rPr>
          <w:rFonts w:ascii="Calibri" w:hAnsi="Calibri"/>
          <w:szCs w:val="21"/>
        </w:rPr>
      </w:pPr>
      <w:r>
        <w:rPr>
          <w:rFonts w:ascii="Calibri" w:hAnsi="Calibri"/>
          <w:szCs w:val="21"/>
        </w:rPr>
        <w:t>2</w:t>
      </w:r>
      <w:r>
        <w:rPr>
          <w:rFonts w:hint="eastAsia" w:ascii="Calibri" w:hAnsi="Calibri"/>
          <w:b/>
          <w:bCs/>
          <w:szCs w:val="21"/>
        </w:rPr>
        <w:t>．</w:t>
      </w:r>
      <w:r>
        <w:rPr>
          <w:rFonts w:hint="eastAsia" w:ascii="Calibri" w:hAnsi="Calibri"/>
          <w:szCs w:val="21"/>
        </w:rPr>
        <w:t>能力要求</w:t>
      </w:r>
    </w:p>
    <w:p>
      <w:pPr>
        <w:spacing w:line="360" w:lineRule="exact"/>
        <w:ind w:firstLine="420" w:firstLineChars="200"/>
        <w:jc w:val="left"/>
        <w:rPr>
          <w:rFonts w:ascii="Calibri" w:hAnsi="Calibri"/>
          <w:szCs w:val="21"/>
        </w:rPr>
      </w:pPr>
      <w:r>
        <w:rPr>
          <w:rFonts w:ascii="Calibri" w:hAnsi="Calibri"/>
          <w:szCs w:val="21"/>
        </w:rPr>
        <w:t>3</w:t>
      </w:r>
      <w:r>
        <w:rPr>
          <w:rFonts w:hint="eastAsia" w:ascii="Calibri" w:hAnsi="Calibri"/>
          <w:szCs w:val="21"/>
        </w:rPr>
        <w:t>．素质要求</w:t>
      </w:r>
    </w:p>
    <w:p>
      <w:pPr>
        <w:adjustRightInd w:val="0"/>
        <w:snapToGrid w:val="0"/>
        <w:spacing w:before="156" w:beforeLines="50" w:after="156" w:afterLines="50" w:line="360" w:lineRule="exact"/>
        <w:ind w:firstLine="480" w:firstLineChars="200"/>
        <w:rPr>
          <w:rFonts w:ascii="Calibri" w:hAnsi="Calibri" w:eastAsia="黑体"/>
          <w:bCs/>
          <w:sz w:val="24"/>
          <w:szCs w:val="22"/>
        </w:rPr>
      </w:pPr>
      <w:r>
        <w:rPr>
          <w:rFonts w:hint="eastAsia" w:ascii="Calibri" w:hAnsi="Calibri" w:eastAsia="黑体"/>
          <w:bCs/>
          <w:sz w:val="24"/>
          <w:szCs w:val="22"/>
        </w:rPr>
        <w:t>四、毕业标准及学分要求</w:t>
      </w:r>
    </w:p>
    <w:p>
      <w:pPr>
        <w:spacing w:line="360" w:lineRule="exact"/>
        <w:ind w:firstLine="420" w:firstLineChars="200"/>
        <w:jc w:val="left"/>
        <w:rPr>
          <w:rFonts w:ascii="Calibri" w:hAnsi="Calibri"/>
          <w:szCs w:val="21"/>
        </w:rPr>
      </w:pPr>
      <w:r>
        <w:rPr>
          <w:rFonts w:ascii="Calibri" w:hAnsi="Calibri"/>
          <w:szCs w:val="21"/>
        </w:rPr>
        <w:t>1</w:t>
      </w:r>
      <w:r>
        <w:rPr>
          <w:rFonts w:hint="eastAsia" w:ascii="Calibri" w:hAnsi="Calibri"/>
          <w:b/>
          <w:bCs/>
          <w:szCs w:val="21"/>
        </w:rPr>
        <w:t>．</w:t>
      </w:r>
      <w:r>
        <w:rPr>
          <w:rFonts w:hint="eastAsia" w:ascii="Calibri" w:hAnsi="Calibri"/>
          <w:szCs w:val="21"/>
        </w:rPr>
        <w:t>理论课程学分分配表</w:t>
      </w:r>
    </w:p>
    <w:tbl>
      <w:tblPr>
        <w:tblStyle w:val="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92"/>
        <w:gridCol w:w="1364"/>
        <w:gridCol w:w="960"/>
        <w:gridCol w:w="1193"/>
        <w:gridCol w:w="25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课程类别</w:t>
            </w:r>
          </w:p>
        </w:tc>
        <w:tc>
          <w:tcPr>
            <w:tcW w:w="1364"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课程性质</w:t>
            </w:r>
          </w:p>
        </w:tc>
        <w:tc>
          <w:tcPr>
            <w:tcW w:w="96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学时</w:t>
            </w:r>
          </w:p>
        </w:tc>
        <w:tc>
          <w:tcPr>
            <w:tcW w:w="119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学分</w:t>
            </w:r>
          </w:p>
        </w:tc>
        <w:tc>
          <w:tcPr>
            <w:tcW w:w="251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百分比（</w:t>
            </w:r>
            <w:r>
              <w:rPr>
                <w:rFonts w:ascii="Calibri" w:hAnsi="Calibri"/>
                <w:sz w:val="18"/>
                <w:szCs w:val="18"/>
              </w:rPr>
              <w:t>%</w:t>
            </w:r>
            <w:r>
              <w:rPr>
                <w:rFonts w:hint="eastAsia" w:ascii="Calibri" w:hAnsi="Calibri"/>
                <w:sz w:val="18"/>
                <w:szCs w:val="18"/>
              </w:rPr>
              <w:t>）</w:t>
            </w:r>
          </w:p>
          <w:p>
            <w:pPr>
              <w:spacing w:line="240" w:lineRule="exact"/>
              <w:jc w:val="center"/>
              <w:rPr>
                <w:rFonts w:ascii="Calibri" w:hAnsi="Calibri"/>
                <w:sz w:val="18"/>
                <w:szCs w:val="18"/>
              </w:rPr>
            </w:pPr>
            <w:r>
              <w:rPr>
                <w:rFonts w:hint="eastAsia" w:ascii="Calibri" w:hAnsi="Calibri"/>
                <w:sz w:val="18"/>
                <w:szCs w:val="18"/>
              </w:rPr>
              <w:t>（占总学分比例）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思想政治课</w:t>
            </w:r>
          </w:p>
        </w:tc>
        <w:tc>
          <w:tcPr>
            <w:tcW w:w="1364"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必修</w:t>
            </w:r>
          </w:p>
        </w:tc>
        <w:tc>
          <w:tcPr>
            <w:tcW w:w="96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119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251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公共基础</w:t>
            </w:r>
            <w:r>
              <w:rPr>
                <w:rFonts w:hint="eastAsia" w:ascii="Calibri" w:hAnsi="Calibri"/>
                <w:sz w:val="18"/>
                <w:szCs w:val="18"/>
                <w:lang w:eastAsia="zh-CN"/>
              </w:rPr>
              <w:t>必修</w:t>
            </w:r>
            <w:r>
              <w:rPr>
                <w:rFonts w:hint="eastAsia" w:ascii="Calibri" w:hAnsi="Calibri"/>
                <w:sz w:val="18"/>
                <w:szCs w:val="18"/>
              </w:rPr>
              <w:t>课</w:t>
            </w:r>
          </w:p>
        </w:tc>
        <w:tc>
          <w:tcPr>
            <w:tcW w:w="1364"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必修</w:t>
            </w:r>
          </w:p>
        </w:tc>
        <w:tc>
          <w:tcPr>
            <w:tcW w:w="96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119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251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0" w:hRule="atLeast"/>
          <w:jc w:val="center"/>
        </w:trPr>
        <w:tc>
          <w:tcPr>
            <w:tcW w:w="2592" w:type="dxa"/>
            <w:vMerge w:val="restart"/>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通识教育课</w:t>
            </w:r>
          </w:p>
        </w:tc>
        <w:tc>
          <w:tcPr>
            <w:tcW w:w="1364"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必修</w:t>
            </w:r>
          </w:p>
        </w:tc>
        <w:tc>
          <w:tcPr>
            <w:tcW w:w="96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119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251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vMerge w:val="continue"/>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1364"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选修</w:t>
            </w:r>
          </w:p>
        </w:tc>
        <w:tc>
          <w:tcPr>
            <w:tcW w:w="96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119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251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学科（专业）基础课</w:t>
            </w:r>
          </w:p>
        </w:tc>
        <w:tc>
          <w:tcPr>
            <w:tcW w:w="1364"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必修</w:t>
            </w:r>
          </w:p>
        </w:tc>
        <w:tc>
          <w:tcPr>
            <w:tcW w:w="96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119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251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6" w:hRule="atLeast"/>
          <w:jc w:val="center"/>
        </w:trPr>
        <w:tc>
          <w:tcPr>
            <w:tcW w:w="2592" w:type="dxa"/>
            <w:vMerge w:val="restart"/>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专业课</w:t>
            </w:r>
          </w:p>
        </w:tc>
        <w:tc>
          <w:tcPr>
            <w:tcW w:w="1364"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必修</w:t>
            </w:r>
          </w:p>
        </w:tc>
        <w:tc>
          <w:tcPr>
            <w:tcW w:w="96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119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251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8" w:hRule="atLeast"/>
          <w:jc w:val="center"/>
        </w:trPr>
        <w:tc>
          <w:tcPr>
            <w:tcW w:w="2592" w:type="dxa"/>
            <w:vMerge w:val="continue"/>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1364"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选修</w:t>
            </w:r>
          </w:p>
        </w:tc>
        <w:tc>
          <w:tcPr>
            <w:tcW w:w="96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119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251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4" w:hRule="atLeast"/>
          <w:jc w:val="center"/>
        </w:trPr>
        <w:tc>
          <w:tcPr>
            <w:tcW w:w="2592"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合计</w:t>
            </w:r>
          </w:p>
        </w:tc>
        <w:tc>
          <w:tcPr>
            <w:tcW w:w="1364"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96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1193"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c>
          <w:tcPr>
            <w:tcW w:w="2510" w:type="dxa"/>
            <w:tcBorders>
              <w:top w:val="single" w:color="auto" w:sz="2" w:space="0"/>
              <w:left w:val="single" w:color="auto" w:sz="2" w:space="0"/>
              <w:bottom w:val="single" w:color="auto" w:sz="2" w:space="0"/>
              <w:right w:val="single" w:color="auto" w:sz="2" w:space="0"/>
            </w:tcBorders>
            <w:noWrap w:val="0"/>
            <w:vAlign w:val="center"/>
          </w:tcPr>
          <w:p>
            <w:pPr>
              <w:spacing w:line="240" w:lineRule="exact"/>
              <w:jc w:val="center"/>
              <w:rPr>
                <w:rFonts w:ascii="Calibri" w:hAnsi="Calibri"/>
                <w:sz w:val="18"/>
                <w:szCs w:val="18"/>
              </w:rPr>
            </w:pPr>
          </w:p>
        </w:tc>
      </w:tr>
    </w:tbl>
    <w:p>
      <w:pPr>
        <w:spacing w:line="360" w:lineRule="exact"/>
        <w:ind w:firstLine="420" w:firstLineChars="200"/>
        <w:jc w:val="left"/>
        <w:rPr>
          <w:rFonts w:ascii="Calibri" w:hAnsi="Calibri"/>
          <w:szCs w:val="21"/>
        </w:rPr>
      </w:pPr>
      <w:r>
        <w:rPr>
          <w:rFonts w:ascii="Calibri" w:hAnsi="Calibri"/>
          <w:szCs w:val="21"/>
        </w:rPr>
        <w:t>2</w:t>
      </w:r>
      <w:r>
        <w:rPr>
          <w:rFonts w:hint="eastAsia" w:ascii="Calibri" w:hAnsi="Calibri"/>
          <w:b/>
          <w:bCs/>
          <w:szCs w:val="21"/>
        </w:rPr>
        <w:t>．</w:t>
      </w:r>
      <w:r>
        <w:rPr>
          <w:rFonts w:hint="eastAsia" w:ascii="Calibri" w:hAnsi="Calibri"/>
          <w:szCs w:val="21"/>
        </w:rPr>
        <w:t>实践学分分配表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640"/>
        <w:gridCol w:w="683"/>
        <w:gridCol w:w="232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类别</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学周</w:t>
            </w:r>
            <w:r>
              <w:rPr>
                <w:rFonts w:ascii="Calibri" w:hAnsi="Calibri"/>
                <w:sz w:val="18"/>
                <w:szCs w:val="18"/>
              </w:rPr>
              <w:t>+</w:t>
            </w:r>
            <w:r>
              <w:rPr>
                <w:rFonts w:hint="eastAsia" w:ascii="Calibri" w:hAnsi="Calibri"/>
                <w:sz w:val="18"/>
                <w:szCs w:val="18"/>
              </w:rPr>
              <w:t>学时</w:t>
            </w:r>
          </w:p>
        </w:tc>
        <w:tc>
          <w:tcPr>
            <w:tcW w:w="6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学分</w:t>
            </w:r>
          </w:p>
        </w:tc>
        <w:tc>
          <w:tcPr>
            <w:tcW w:w="23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百分比（</w:t>
            </w:r>
            <w:r>
              <w:rPr>
                <w:rFonts w:ascii="Calibri" w:hAnsi="Calibri"/>
                <w:sz w:val="18"/>
                <w:szCs w:val="18"/>
              </w:rPr>
              <w:t>%</w:t>
            </w:r>
            <w:r>
              <w:rPr>
                <w:rFonts w:hint="eastAsia" w:ascii="Calibri" w:hAnsi="Calibri"/>
                <w:sz w:val="18"/>
                <w:szCs w:val="18"/>
              </w:rPr>
              <w:t>）</w:t>
            </w:r>
          </w:p>
          <w:p>
            <w:pPr>
              <w:spacing w:line="240" w:lineRule="exact"/>
              <w:jc w:val="center"/>
              <w:rPr>
                <w:rFonts w:ascii="Calibri" w:hAnsi="Calibri"/>
                <w:sz w:val="18"/>
                <w:szCs w:val="18"/>
              </w:rPr>
            </w:pPr>
            <w:r>
              <w:rPr>
                <w:rFonts w:ascii="Calibri" w:hAnsi="Calibri"/>
                <w:sz w:val="18"/>
                <w:szCs w:val="18"/>
              </w:rPr>
              <w:t>(</w:t>
            </w:r>
            <w:r>
              <w:rPr>
                <w:rFonts w:hint="eastAsia" w:ascii="Calibri" w:hAnsi="Calibri"/>
                <w:sz w:val="18"/>
                <w:szCs w:val="18"/>
              </w:rPr>
              <w:t>占总学分比例</w:t>
            </w:r>
            <w:r>
              <w:rPr>
                <w:rFonts w:ascii="Calibri" w:hAnsi="Calibri"/>
                <w:sz w:val="18"/>
                <w:szCs w:val="18"/>
              </w:rPr>
              <w:t>)</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lang w:eastAsia="zh-CN"/>
              </w:rPr>
              <w:t>集中</w:t>
            </w:r>
            <w:r>
              <w:rPr>
                <w:rFonts w:hint="eastAsia" w:ascii="Calibri" w:hAnsi="Calibri"/>
                <w:sz w:val="18"/>
                <w:szCs w:val="18"/>
              </w:rPr>
              <w:t>实践课</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含军训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Calibri" w:hAnsi="Calibri" w:eastAsia="宋体"/>
                <w:sz w:val="18"/>
                <w:szCs w:val="18"/>
                <w:lang w:eastAsia="zh-CN"/>
              </w:rPr>
            </w:pPr>
            <w:r>
              <w:rPr>
                <w:rFonts w:hint="eastAsia" w:ascii="Calibri" w:hAnsi="Calibri"/>
                <w:sz w:val="18"/>
                <w:szCs w:val="18"/>
              </w:rPr>
              <w:t>理论课程中的课程实践</w:t>
            </w:r>
            <w:r>
              <w:rPr>
                <w:rFonts w:hint="eastAsia" w:ascii="Calibri" w:hAnsi="Calibri"/>
                <w:sz w:val="18"/>
                <w:szCs w:val="18"/>
                <w:lang w:eastAsia="zh-CN"/>
              </w:rPr>
              <w:t>（含课程实践和课外实践）</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合计</w:t>
            </w:r>
          </w:p>
        </w:tc>
        <w:tc>
          <w:tcPr>
            <w:tcW w:w="16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68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32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11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bl>
    <w:p>
      <w:pPr>
        <w:spacing w:line="360" w:lineRule="exact"/>
        <w:ind w:firstLine="420" w:firstLineChars="200"/>
        <w:jc w:val="left"/>
        <w:rPr>
          <w:rFonts w:ascii="Calibri" w:hAnsi="Calibri"/>
          <w:szCs w:val="21"/>
        </w:rPr>
      </w:pPr>
      <w:r>
        <w:rPr>
          <w:rFonts w:hint="eastAsia" w:ascii="Calibri" w:hAnsi="Calibri"/>
          <w:szCs w:val="21"/>
        </w:rPr>
        <w:t>总学分：</w:t>
      </w:r>
    </w:p>
    <w:p>
      <w:pPr>
        <w:adjustRightInd w:val="0"/>
        <w:snapToGrid w:val="0"/>
        <w:spacing w:before="156" w:beforeLines="50" w:after="156" w:afterLines="50" w:line="360" w:lineRule="exact"/>
        <w:ind w:firstLine="480" w:firstLineChars="200"/>
        <w:rPr>
          <w:rFonts w:ascii="Calibri" w:hAnsi="Calibri" w:eastAsia="黑体"/>
          <w:bCs/>
          <w:sz w:val="24"/>
          <w:szCs w:val="22"/>
        </w:rPr>
      </w:pPr>
      <w:r>
        <w:rPr>
          <w:rFonts w:hint="eastAsia" w:ascii="Calibri" w:hAnsi="Calibri" w:eastAsia="黑体"/>
          <w:bCs/>
          <w:sz w:val="24"/>
          <w:szCs w:val="22"/>
        </w:rPr>
        <w:t>五、学制与学位</w:t>
      </w:r>
    </w:p>
    <w:p>
      <w:pPr>
        <w:spacing w:line="360" w:lineRule="exact"/>
        <w:ind w:firstLine="420" w:firstLineChars="200"/>
        <w:jc w:val="left"/>
        <w:rPr>
          <w:rFonts w:ascii="Calibri" w:hAnsi="Calibri"/>
          <w:szCs w:val="21"/>
        </w:rPr>
      </w:pPr>
      <w:r>
        <w:rPr>
          <w:rFonts w:hint="eastAsia" w:ascii="Calibri" w:hAnsi="Calibri"/>
          <w:szCs w:val="21"/>
        </w:rPr>
        <w:t>标准学制：</w:t>
      </w:r>
      <w:r>
        <w:rPr>
          <w:rFonts w:ascii="Calibri" w:hAnsi="Calibri"/>
          <w:szCs w:val="21"/>
        </w:rPr>
        <w:t>4</w:t>
      </w:r>
      <w:r>
        <w:rPr>
          <w:rFonts w:hint="eastAsia" w:ascii="Calibri" w:hAnsi="Calibri"/>
          <w:szCs w:val="21"/>
        </w:rPr>
        <w:t>年，学习年限</w:t>
      </w:r>
      <w:r>
        <w:rPr>
          <w:rFonts w:ascii="Calibri" w:hAnsi="Calibri"/>
          <w:szCs w:val="21"/>
        </w:rPr>
        <w:t>3-6</w:t>
      </w:r>
      <w:r>
        <w:rPr>
          <w:rFonts w:hint="eastAsia" w:ascii="Calibri" w:hAnsi="Calibri"/>
          <w:szCs w:val="21"/>
        </w:rPr>
        <w:t>年</w:t>
      </w:r>
    </w:p>
    <w:p>
      <w:pPr>
        <w:spacing w:line="360" w:lineRule="exact"/>
        <w:ind w:firstLine="420" w:firstLineChars="200"/>
        <w:jc w:val="left"/>
        <w:rPr>
          <w:rFonts w:ascii="Calibri" w:hAnsi="Calibri"/>
          <w:szCs w:val="21"/>
        </w:rPr>
      </w:pPr>
      <w:r>
        <w:rPr>
          <w:rFonts w:hint="eastAsia" w:ascii="Calibri" w:hAnsi="Calibri"/>
          <w:szCs w:val="21"/>
        </w:rPr>
        <w:t>授予学位：</w:t>
      </w:r>
      <w:r>
        <w:rPr>
          <w:rFonts w:ascii="Calibri" w:hAnsi="Calibri"/>
          <w:szCs w:val="21"/>
        </w:rPr>
        <w:t>***</w:t>
      </w:r>
      <w:r>
        <w:rPr>
          <w:rFonts w:hint="eastAsia" w:ascii="Calibri" w:hAnsi="Calibri"/>
          <w:szCs w:val="21"/>
        </w:rPr>
        <w:t>学士学位</w:t>
      </w:r>
    </w:p>
    <w:p>
      <w:pPr>
        <w:adjustRightInd w:val="0"/>
        <w:snapToGrid w:val="0"/>
        <w:spacing w:before="156" w:beforeLines="50" w:after="156" w:afterLines="50" w:line="360" w:lineRule="exact"/>
        <w:ind w:firstLine="480" w:firstLineChars="200"/>
        <w:rPr>
          <w:rFonts w:ascii="Calibri" w:hAnsi="Calibri" w:eastAsia="黑体"/>
          <w:bCs/>
          <w:sz w:val="24"/>
          <w:szCs w:val="22"/>
        </w:rPr>
      </w:pPr>
      <w:r>
        <w:rPr>
          <w:rFonts w:hint="eastAsia" w:ascii="Calibri" w:hAnsi="Calibri" w:eastAsia="黑体"/>
          <w:bCs/>
          <w:sz w:val="24"/>
          <w:szCs w:val="22"/>
        </w:rPr>
        <w:t>六、专业核心课程</w:t>
      </w:r>
    </w:p>
    <w:p>
      <w:pPr>
        <w:adjustRightInd w:val="0"/>
        <w:snapToGrid w:val="0"/>
        <w:spacing w:before="156" w:beforeLines="50" w:after="156" w:afterLines="50" w:line="360" w:lineRule="exact"/>
        <w:ind w:firstLine="480" w:firstLineChars="200"/>
        <w:rPr>
          <w:rFonts w:ascii="Calibri" w:hAnsi="Calibri" w:eastAsia="黑体"/>
          <w:bCs/>
          <w:sz w:val="24"/>
          <w:szCs w:val="22"/>
        </w:rPr>
      </w:pPr>
      <w:r>
        <w:rPr>
          <w:rFonts w:hint="eastAsia" w:ascii="Calibri" w:hAnsi="Calibri" w:eastAsia="黑体"/>
          <w:bCs/>
          <w:sz w:val="24"/>
          <w:szCs w:val="22"/>
        </w:rPr>
        <w:t>七、课程体系</w:t>
      </w:r>
    </w:p>
    <w:tbl>
      <w:tblPr>
        <w:tblStyle w:val="4"/>
        <w:tblW w:w="8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9"/>
        <w:gridCol w:w="394"/>
        <w:gridCol w:w="69"/>
        <w:gridCol w:w="711"/>
        <w:gridCol w:w="125"/>
        <w:gridCol w:w="2795"/>
        <w:gridCol w:w="393"/>
        <w:gridCol w:w="377"/>
        <w:gridCol w:w="456"/>
        <w:gridCol w:w="439"/>
        <w:gridCol w:w="436"/>
        <w:gridCol w:w="7"/>
        <w:gridCol w:w="423"/>
        <w:gridCol w:w="400"/>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课程类别</w:t>
            </w:r>
          </w:p>
        </w:tc>
        <w:tc>
          <w:tcPr>
            <w:tcW w:w="39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课程序号</w:t>
            </w:r>
          </w:p>
        </w:tc>
        <w:tc>
          <w:tcPr>
            <w:tcW w:w="78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课程代码</w:t>
            </w:r>
          </w:p>
        </w:tc>
        <w:tc>
          <w:tcPr>
            <w:tcW w:w="292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课程名称</w:t>
            </w:r>
          </w:p>
        </w:tc>
        <w:tc>
          <w:tcPr>
            <w:tcW w:w="39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总</w:t>
            </w:r>
          </w:p>
          <w:p>
            <w:pPr>
              <w:spacing w:line="240" w:lineRule="exact"/>
              <w:jc w:val="center"/>
              <w:rPr>
                <w:rFonts w:ascii="Calibri" w:hAnsi="Calibri"/>
                <w:sz w:val="18"/>
                <w:szCs w:val="18"/>
              </w:rPr>
            </w:pPr>
            <w:r>
              <w:rPr>
                <w:rFonts w:hint="eastAsia" w:ascii="Calibri" w:hAnsi="Calibri"/>
                <w:sz w:val="18"/>
                <w:szCs w:val="18"/>
              </w:rPr>
              <w:t>学</w:t>
            </w:r>
          </w:p>
          <w:p>
            <w:pPr>
              <w:spacing w:line="240" w:lineRule="exact"/>
              <w:jc w:val="center"/>
              <w:rPr>
                <w:rFonts w:ascii="Calibri" w:hAnsi="Calibri"/>
                <w:sz w:val="18"/>
                <w:szCs w:val="18"/>
              </w:rPr>
            </w:pPr>
            <w:r>
              <w:rPr>
                <w:rFonts w:hint="eastAsia" w:ascii="Calibri" w:hAnsi="Calibri"/>
                <w:sz w:val="18"/>
                <w:szCs w:val="18"/>
              </w:rPr>
              <w:t>时</w:t>
            </w:r>
          </w:p>
        </w:tc>
        <w:tc>
          <w:tcPr>
            <w:tcW w:w="37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学</w:t>
            </w:r>
          </w:p>
          <w:p>
            <w:pPr>
              <w:spacing w:line="240" w:lineRule="exact"/>
              <w:jc w:val="center"/>
              <w:rPr>
                <w:rFonts w:ascii="Calibri" w:hAnsi="Calibri"/>
                <w:sz w:val="18"/>
                <w:szCs w:val="18"/>
              </w:rPr>
            </w:pPr>
            <w:r>
              <w:rPr>
                <w:rFonts w:hint="eastAsia" w:ascii="Calibri" w:hAnsi="Calibri"/>
                <w:sz w:val="18"/>
                <w:szCs w:val="18"/>
              </w:rPr>
              <w:t>分</w:t>
            </w:r>
          </w:p>
          <w:p>
            <w:pPr>
              <w:spacing w:line="240" w:lineRule="exact"/>
              <w:jc w:val="center"/>
              <w:rPr>
                <w:rFonts w:ascii="Calibri" w:hAnsi="Calibri"/>
                <w:sz w:val="18"/>
                <w:szCs w:val="18"/>
              </w:rPr>
            </w:pPr>
            <w:r>
              <w:rPr>
                <w:rFonts w:hint="eastAsia" w:ascii="Calibri" w:hAnsi="Calibri"/>
                <w:sz w:val="18"/>
                <w:szCs w:val="18"/>
              </w:rPr>
              <w:t>数</w:t>
            </w:r>
          </w:p>
        </w:tc>
        <w:tc>
          <w:tcPr>
            <w:tcW w:w="1761"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学时分配</w:t>
            </w:r>
          </w:p>
        </w:tc>
        <w:tc>
          <w:tcPr>
            <w:tcW w:w="4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r>
              <w:rPr>
                <w:rFonts w:hint="eastAsia" w:ascii="Calibri" w:hAnsi="Calibri"/>
                <w:sz w:val="18"/>
                <w:szCs w:val="18"/>
              </w:rPr>
              <w:t>开课学期</w:t>
            </w:r>
          </w:p>
        </w:tc>
        <w:tc>
          <w:tcPr>
            <w:tcW w:w="45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39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78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292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393"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37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讲授</w:t>
            </w: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专题讲座</w:t>
            </w: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课程实践</w:t>
            </w: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自主学习</w:t>
            </w:r>
          </w:p>
        </w:tc>
        <w:tc>
          <w:tcPr>
            <w:tcW w:w="4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45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7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jc w:val="center"/>
              <w:rPr>
                <w:rFonts w:ascii="Calibri" w:hAnsi="Calibri"/>
                <w:sz w:val="18"/>
                <w:szCs w:val="18"/>
              </w:rPr>
            </w:pPr>
            <w:r>
              <w:rPr>
                <w:rFonts w:hint="eastAsia" w:ascii="Calibri" w:hAnsi="Calibri"/>
                <w:sz w:val="18"/>
                <w:szCs w:val="18"/>
              </w:rPr>
              <w:t>思想政治课</w:t>
            </w:r>
          </w:p>
        </w:tc>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4"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9"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409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小计</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 w:hRule="atLeast"/>
          <w:jc w:val="center"/>
        </w:trPr>
        <w:tc>
          <w:tcPr>
            <w:tcW w:w="579" w:type="dxa"/>
            <w:vMerge w:val="restart"/>
            <w:tcBorders>
              <w:top w:val="single" w:color="auto" w:sz="4" w:space="0"/>
              <w:left w:val="single" w:color="auto" w:sz="4" w:space="0"/>
              <w:right w:val="single" w:color="auto" w:sz="4" w:space="0"/>
            </w:tcBorders>
            <w:noWrap w:val="0"/>
            <w:textDirection w:val="tbRlV"/>
            <w:vAlign w:val="center"/>
          </w:tcPr>
          <w:p>
            <w:pPr>
              <w:spacing w:line="240" w:lineRule="exact"/>
              <w:ind w:left="113" w:right="113"/>
              <w:jc w:val="center"/>
              <w:rPr>
                <w:rFonts w:ascii="Calibri" w:hAnsi="Calibri"/>
                <w:sz w:val="18"/>
                <w:szCs w:val="18"/>
              </w:rPr>
            </w:pPr>
            <w:r>
              <w:rPr>
                <w:rFonts w:hint="eastAsia" w:ascii="Calibri" w:hAnsi="Calibri"/>
                <w:sz w:val="18"/>
                <w:szCs w:val="18"/>
              </w:rPr>
              <w:t>公共基础必修课</w:t>
            </w:r>
          </w:p>
        </w:tc>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jc w:val="center"/>
        </w:trPr>
        <w:tc>
          <w:tcPr>
            <w:tcW w:w="579" w:type="dxa"/>
            <w:vMerge w:val="continue"/>
            <w:tcBorders>
              <w:left w:val="single" w:color="auto" w:sz="4" w:space="0"/>
              <w:right w:val="single" w:color="auto" w:sz="4" w:space="0"/>
            </w:tcBorders>
            <w:noWrap w:val="0"/>
            <w:textDirection w:val="tbRlV"/>
            <w:vAlign w:val="center"/>
          </w:tcPr>
          <w:p>
            <w:pPr>
              <w:spacing w:line="240" w:lineRule="exact"/>
              <w:ind w:left="113" w:right="113"/>
              <w:jc w:val="center"/>
              <w:rPr>
                <w:rFonts w:ascii="Calibri" w:hAnsi="Calibri"/>
                <w:sz w:val="18"/>
                <w:szCs w:val="18"/>
              </w:rPr>
            </w:pPr>
          </w:p>
        </w:tc>
        <w:tc>
          <w:tcPr>
            <w:tcW w:w="39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579" w:type="dxa"/>
            <w:vMerge w:val="continue"/>
            <w:tcBorders>
              <w:left w:val="single" w:color="auto" w:sz="4" w:space="0"/>
              <w:right w:val="single" w:color="auto" w:sz="4" w:space="0"/>
            </w:tcBorders>
            <w:noWrap w:val="0"/>
            <w:textDirection w:val="tbRlV"/>
            <w:vAlign w:val="center"/>
          </w:tcPr>
          <w:p>
            <w:pPr>
              <w:spacing w:line="240" w:lineRule="exact"/>
              <w:ind w:left="113" w:right="113"/>
              <w:jc w:val="center"/>
              <w:rPr>
                <w:rFonts w:ascii="Calibri" w:hAnsi="Calibri"/>
                <w:sz w:val="18"/>
                <w:szCs w:val="18"/>
              </w:rPr>
            </w:pPr>
          </w:p>
        </w:tc>
        <w:tc>
          <w:tcPr>
            <w:tcW w:w="394"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579" w:type="dxa"/>
            <w:vMerge w:val="continue"/>
            <w:tcBorders>
              <w:left w:val="single" w:color="auto" w:sz="4" w:space="0"/>
              <w:right w:val="single" w:color="auto" w:sz="4" w:space="0"/>
            </w:tcBorders>
            <w:noWrap w:val="0"/>
            <w:textDirection w:val="tbRlV"/>
            <w:vAlign w:val="center"/>
          </w:tcPr>
          <w:p>
            <w:pPr>
              <w:spacing w:line="240" w:lineRule="exact"/>
              <w:ind w:left="113" w:right="113"/>
              <w:jc w:val="center"/>
              <w:rPr>
                <w:rFonts w:ascii="Calibri" w:hAnsi="Calibri"/>
                <w:sz w:val="18"/>
                <w:szCs w:val="18"/>
              </w:rPr>
            </w:pPr>
          </w:p>
        </w:tc>
        <w:tc>
          <w:tcPr>
            <w:tcW w:w="409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r>
              <w:rPr>
                <w:rFonts w:hint="eastAsia" w:ascii="Calibri" w:hAnsi="Calibri"/>
                <w:sz w:val="18"/>
                <w:szCs w:val="18"/>
              </w:rPr>
              <w:t>小计</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579" w:type="dxa"/>
            <w:vMerge w:val="continue"/>
            <w:tcBorders>
              <w:left w:val="single" w:color="auto" w:sz="4" w:space="0"/>
              <w:bottom w:val="single" w:color="auto" w:sz="4" w:space="0"/>
              <w:right w:val="single" w:color="auto" w:sz="4" w:space="0"/>
            </w:tcBorders>
            <w:noWrap w:val="0"/>
            <w:textDirection w:val="tbRlV"/>
            <w:vAlign w:val="center"/>
          </w:tcPr>
          <w:p>
            <w:pPr>
              <w:spacing w:line="240" w:lineRule="exact"/>
              <w:ind w:left="113" w:right="113"/>
              <w:jc w:val="center"/>
              <w:rPr>
                <w:rFonts w:ascii="Calibri" w:hAnsi="Calibri"/>
                <w:sz w:val="18"/>
                <w:szCs w:val="18"/>
              </w:rPr>
            </w:pPr>
          </w:p>
        </w:tc>
        <w:tc>
          <w:tcPr>
            <w:tcW w:w="409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hint="eastAsia" w:ascii="Calibri" w:hAnsi="Calibri"/>
                <w:sz w:val="18"/>
                <w:szCs w:val="18"/>
              </w:rPr>
            </w:pPr>
            <w:r>
              <w:rPr>
                <w:rFonts w:hint="eastAsia" w:ascii="Calibri" w:hAnsi="Calibri"/>
                <w:sz w:val="18"/>
                <w:szCs w:val="18"/>
              </w:rPr>
              <w:t>说明：以非英语外语参加高考进入我校的全日制在籍非外语类专业普通本科学生，可按《湖南财政经济学院全日制普通本科学生非英语外语课程学习暂行办法》（湘财院校发〔2018〕97号）提出申请，参加《大学日语》（一）（二）、《大学俄语》（一）（二）等小语种学习，不再执行各专业人才培养方案中的《大学英语》课程考核。</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57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ind w:left="113" w:right="113"/>
              <w:jc w:val="center"/>
              <w:rPr>
                <w:rFonts w:ascii="Calibri" w:hAnsi="Calibri"/>
                <w:sz w:val="18"/>
                <w:szCs w:val="18"/>
              </w:rPr>
            </w:pPr>
            <w:r>
              <w:rPr>
                <w:rFonts w:hint="eastAsia" w:ascii="Calibri" w:hAnsi="Calibri"/>
                <w:sz w:val="18"/>
                <w:szCs w:val="18"/>
              </w:rPr>
              <w:t>通识教育必修课</w:t>
            </w:r>
          </w:p>
        </w:tc>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39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78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92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409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小计</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5" w:hRule="atLeast"/>
          <w:jc w:val="center"/>
        </w:trPr>
        <w:tc>
          <w:tcPr>
            <w:tcW w:w="57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ind w:left="113" w:right="113"/>
              <w:jc w:val="center"/>
              <w:rPr>
                <w:rFonts w:ascii="Calibri" w:hAnsi="Calibri"/>
                <w:sz w:val="18"/>
                <w:szCs w:val="18"/>
              </w:rPr>
            </w:pPr>
            <w:r>
              <w:rPr>
                <w:rFonts w:hint="eastAsia" w:ascii="Calibri" w:hAnsi="Calibri"/>
                <w:sz w:val="18"/>
                <w:szCs w:val="18"/>
              </w:rPr>
              <w:t>通识教育</w:t>
            </w:r>
          </w:p>
          <w:p>
            <w:pPr>
              <w:spacing w:line="240" w:lineRule="exact"/>
              <w:ind w:left="113" w:right="113"/>
              <w:jc w:val="center"/>
              <w:rPr>
                <w:rFonts w:ascii="Calibri" w:hAnsi="Calibri"/>
                <w:sz w:val="18"/>
                <w:szCs w:val="18"/>
              </w:rPr>
            </w:pPr>
            <w:r>
              <w:rPr>
                <w:rFonts w:hint="eastAsia" w:ascii="Calibri" w:hAnsi="Calibri"/>
                <w:sz w:val="18"/>
                <w:szCs w:val="18"/>
              </w:rPr>
              <w:t>选修课</w:t>
            </w:r>
          </w:p>
        </w:tc>
        <w:tc>
          <w:tcPr>
            <w:tcW w:w="409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r>
              <w:rPr>
                <w:rFonts w:hint="eastAsia" w:ascii="Calibri" w:hAnsi="Calibri"/>
                <w:sz w:val="18"/>
                <w:szCs w:val="18"/>
              </w:rPr>
              <w:t>此模块课程分七学期开设，从第一学期开始选修，每学期最多选修4学分，最少选修1学分，七学期共选修不少于10学分，其中艺术修养与艺术鉴赏课程必须至少选修2学分，安全教育选修1学分，四史（党史、新中国史、改革开放史、社会主义发展史）选修其一，0.5学分。</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4"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409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小计</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160</w:t>
            </w: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10</w:t>
            </w: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ind w:left="113" w:right="113"/>
              <w:jc w:val="center"/>
              <w:rPr>
                <w:rFonts w:ascii="Calibri" w:hAnsi="Calibri"/>
                <w:sz w:val="18"/>
                <w:szCs w:val="18"/>
              </w:rPr>
            </w:pPr>
            <w:r>
              <w:rPr>
                <w:rFonts w:hint="eastAsia" w:ascii="Calibri" w:hAnsi="Calibri"/>
                <w:sz w:val="18"/>
                <w:szCs w:val="18"/>
              </w:rPr>
              <w:t>学科（专业）</w:t>
            </w:r>
          </w:p>
          <w:p>
            <w:pPr>
              <w:spacing w:line="240" w:lineRule="exact"/>
              <w:ind w:left="113" w:right="113"/>
              <w:jc w:val="center"/>
              <w:rPr>
                <w:rFonts w:ascii="Calibri" w:hAnsi="Calibri"/>
                <w:sz w:val="18"/>
                <w:szCs w:val="18"/>
              </w:rPr>
            </w:pPr>
            <w:r>
              <w:rPr>
                <w:rFonts w:hint="eastAsia" w:ascii="Calibri" w:hAnsi="Calibri"/>
                <w:sz w:val="18"/>
                <w:szCs w:val="18"/>
              </w:rPr>
              <w:t>基础课</w:t>
            </w: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1</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jc w:val="center"/>
              <w:rPr>
                <w:rFonts w:ascii="Calibri" w:hAnsi="Calibri"/>
                <w:sz w:val="18"/>
                <w:szCs w:val="18"/>
              </w:rPr>
            </w:pP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2</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jc w:val="center"/>
              <w:rPr>
                <w:rFonts w:ascii="Calibri" w:hAnsi="Calibri"/>
                <w:sz w:val="18"/>
                <w:szCs w:val="18"/>
              </w:rPr>
            </w:pP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631"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r>
              <w:rPr>
                <w:rFonts w:hint="eastAsia" w:ascii="Calibri" w:hAnsi="Calibri"/>
                <w:sz w:val="18"/>
                <w:szCs w:val="18"/>
              </w:rPr>
              <w:t>小计</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9" w:hRule="atLeast"/>
          <w:jc w:val="center"/>
        </w:trPr>
        <w:tc>
          <w:tcPr>
            <w:tcW w:w="579"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ind w:left="113" w:right="113"/>
              <w:jc w:val="center"/>
              <w:rPr>
                <w:rFonts w:ascii="Calibri" w:hAnsi="Calibri"/>
                <w:color w:val="FF0000"/>
                <w:sz w:val="18"/>
                <w:szCs w:val="18"/>
              </w:rPr>
            </w:pPr>
            <w:r>
              <w:rPr>
                <w:rFonts w:hint="eastAsia" w:ascii="Calibri" w:hAnsi="Calibri"/>
                <w:sz w:val="18"/>
                <w:szCs w:val="18"/>
              </w:rPr>
              <w:t>专业必修课</w:t>
            </w: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1</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2</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409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hint="eastAsia" w:ascii="Calibri" w:hAnsi="Calibri"/>
                <w:sz w:val="18"/>
                <w:szCs w:val="18"/>
              </w:rPr>
              <w:t>小计</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3" w:right="113"/>
              <w:jc w:val="center"/>
              <w:rPr>
                <w:rFonts w:ascii="Calibri" w:hAnsi="Calibri"/>
                <w:color w:val="FF0000"/>
                <w:sz w:val="18"/>
                <w:szCs w:val="18"/>
              </w:rPr>
            </w:pPr>
            <w:r>
              <w:rPr>
                <w:rFonts w:hint="eastAsia" w:ascii="Calibri" w:hAnsi="Calibri"/>
                <w:sz w:val="18"/>
                <w:szCs w:val="18"/>
              </w:rPr>
              <w:t>专业选修课</w:t>
            </w: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1</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jc w:val="center"/>
              <w:rPr>
                <w:rFonts w:ascii="Calibri" w:hAnsi="Calibri"/>
                <w:sz w:val="18"/>
                <w:szCs w:val="18"/>
              </w:rPr>
            </w:pP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2</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exact"/>
          <w:jc w:val="center"/>
        </w:trPr>
        <w:tc>
          <w:tcPr>
            <w:tcW w:w="57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jc w:val="center"/>
              <w:rPr>
                <w:rFonts w:ascii="Calibri" w:hAnsi="Calibri"/>
                <w:sz w:val="18"/>
                <w:szCs w:val="18"/>
              </w:rPr>
            </w:pP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jc w:val="center"/>
              <w:rPr>
                <w:rFonts w:ascii="Calibri" w:hAnsi="Calibri"/>
                <w:sz w:val="18"/>
                <w:szCs w:val="18"/>
              </w:rPr>
            </w:pPr>
          </w:p>
        </w:tc>
        <w:tc>
          <w:tcPr>
            <w:tcW w:w="409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r>
              <w:rPr>
                <w:rFonts w:hint="eastAsia" w:ascii="Calibri" w:hAnsi="Calibri"/>
                <w:sz w:val="18"/>
                <w:szCs w:val="18"/>
              </w:rPr>
              <w:t>小计</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5"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jc w:val="center"/>
              <w:rPr>
                <w:rFonts w:ascii="Calibri" w:hAnsi="Calibri"/>
                <w:sz w:val="18"/>
                <w:szCs w:val="18"/>
              </w:rPr>
            </w:pPr>
          </w:p>
        </w:tc>
        <w:tc>
          <w:tcPr>
            <w:tcW w:w="409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r>
              <w:rPr>
                <w:rFonts w:hint="eastAsia" w:ascii="Calibri" w:hAnsi="Calibri"/>
                <w:sz w:val="18"/>
                <w:szCs w:val="18"/>
              </w:rPr>
              <w:t>说明：此模块课程修读的基本要求。</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79"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ind w:left="113" w:right="113"/>
              <w:jc w:val="center"/>
              <w:rPr>
                <w:rFonts w:ascii="Calibri" w:hAnsi="Calibri"/>
                <w:sz w:val="18"/>
                <w:szCs w:val="18"/>
              </w:rPr>
            </w:pPr>
            <w:r>
              <w:rPr>
                <w:rFonts w:hint="eastAsia" w:ascii="Calibri" w:hAnsi="Calibri"/>
                <w:sz w:val="18"/>
                <w:szCs w:val="18"/>
              </w:rPr>
              <w:t>集中实践课</w:t>
            </w: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1</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jc w:val="center"/>
              <w:rPr>
                <w:rFonts w:ascii="Calibri" w:hAnsi="Calibri"/>
                <w:sz w:val="18"/>
                <w:szCs w:val="18"/>
              </w:rPr>
            </w:pP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2</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textDirection w:val="tbRlV"/>
            <w:vAlign w:val="center"/>
          </w:tcPr>
          <w:p>
            <w:pPr>
              <w:spacing w:line="240" w:lineRule="exact"/>
              <w:jc w:val="center"/>
              <w:rPr>
                <w:rFonts w:ascii="Calibri" w:hAnsi="Calibri"/>
                <w:sz w:val="18"/>
                <w:szCs w:val="18"/>
              </w:rPr>
            </w:pP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3</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46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Calibri" w:hAnsi="Calibri"/>
                <w:sz w:val="18"/>
                <w:szCs w:val="18"/>
              </w:rPr>
            </w:pPr>
            <w:r>
              <w:rPr>
                <w:rFonts w:ascii="Calibri" w:hAnsi="Calibri"/>
                <w:sz w:val="18"/>
                <w:szCs w:val="18"/>
              </w:rPr>
              <w:t>4</w:t>
            </w:r>
          </w:p>
        </w:tc>
        <w:tc>
          <w:tcPr>
            <w:tcW w:w="83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27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579"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Calibri" w:hAnsi="Calibri"/>
                <w:sz w:val="18"/>
                <w:szCs w:val="18"/>
              </w:rPr>
            </w:pPr>
          </w:p>
        </w:tc>
        <w:tc>
          <w:tcPr>
            <w:tcW w:w="4094" w:type="dxa"/>
            <w:gridSpan w:val="5"/>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r>
              <w:rPr>
                <w:rFonts w:hint="eastAsia" w:ascii="Calibri" w:hAnsi="Calibri"/>
                <w:sz w:val="18"/>
                <w:szCs w:val="18"/>
              </w:rPr>
              <w:t>小计</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left"/>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4673"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r>
              <w:rPr>
                <w:rFonts w:hint="eastAsia" w:ascii="Calibri" w:hAnsi="Calibri"/>
                <w:sz w:val="18"/>
                <w:szCs w:val="18"/>
              </w:rPr>
              <w:t>合计</w:t>
            </w:r>
          </w:p>
        </w:tc>
        <w:tc>
          <w:tcPr>
            <w:tcW w:w="39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37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5"/>
                <w:szCs w:val="15"/>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43"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0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c>
          <w:tcPr>
            <w:tcW w:w="4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left="42" w:leftChars="20"/>
              <w:jc w:val="center"/>
              <w:rPr>
                <w:rFonts w:ascii="Calibri" w:hAnsi="Calibri"/>
                <w:sz w:val="18"/>
                <w:szCs w:val="18"/>
              </w:rPr>
            </w:pPr>
          </w:p>
        </w:tc>
      </w:tr>
    </w:tbl>
    <w:p>
      <w:pPr>
        <w:ind w:firstLine="360" w:firstLineChars="200"/>
        <w:jc w:val="left"/>
        <w:rPr>
          <w:rFonts w:ascii="Calibri" w:hAnsi="Calibri"/>
          <w:sz w:val="18"/>
          <w:szCs w:val="18"/>
        </w:rPr>
      </w:pPr>
      <w:r>
        <w:rPr>
          <w:rFonts w:hint="eastAsia" w:ascii="Calibri" w:hAnsi="Calibri"/>
          <w:sz w:val="18"/>
          <w:szCs w:val="18"/>
        </w:rPr>
        <w:t>说明：大学生创新创业、社会实践活动合格要求：以《湖南财政经济学院大学生创新创业、社会实践活动学分认定</w:t>
      </w:r>
      <w:r>
        <w:rPr>
          <w:rFonts w:hint="eastAsia" w:ascii="Calibri" w:hAnsi="Calibri"/>
          <w:sz w:val="18"/>
          <w:szCs w:val="18"/>
          <w:lang w:eastAsia="zh-CN"/>
        </w:rPr>
        <w:t>和转换管理办法</w:t>
      </w:r>
      <w:r>
        <w:rPr>
          <w:rFonts w:hint="eastAsia" w:ascii="Calibri" w:hAnsi="Calibri"/>
          <w:sz w:val="18"/>
          <w:szCs w:val="18"/>
        </w:rPr>
        <w:t>》（</w:t>
      </w:r>
      <w:bookmarkStart w:id="3" w:name="wh"/>
      <w:r>
        <w:rPr>
          <w:rFonts w:hint="eastAsia" w:ascii="Calibri" w:hAnsi="Calibri"/>
          <w:sz w:val="18"/>
          <w:szCs w:val="18"/>
        </w:rPr>
        <w:t>湘财院</w:t>
      </w:r>
      <w:r>
        <w:rPr>
          <w:rFonts w:hint="eastAsia" w:ascii="Calibri" w:hAnsi="Calibri"/>
          <w:sz w:val="18"/>
          <w:szCs w:val="18"/>
          <w:lang w:eastAsia="zh-CN"/>
        </w:rPr>
        <w:t>院</w:t>
      </w:r>
      <w:r>
        <w:rPr>
          <w:rFonts w:hint="eastAsia" w:ascii="Calibri" w:hAnsi="Calibri"/>
          <w:sz w:val="18"/>
          <w:szCs w:val="18"/>
        </w:rPr>
        <w:t>发〔2019〕</w:t>
      </w:r>
      <w:r>
        <w:rPr>
          <w:rFonts w:hint="eastAsia" w:ascii="Calibri" w:hAnsi="Calibri"/>
          <w:sz w:val="18"/>
          <w:szCs w:val="18"/>
          <w:lang w:val="en-US" w:eastAsia="zh-CN"/>
        </w:rPr>
        <w:t>138</w:t>
      </w:r>
      <w:r>
        <w:rPr>
          <w:rFonts w:hint="eastAsia" w:ascii="Calibri" w:hAnsi="Calibri"/>
          <w:sz w:val="18"/>
          <w:szCs w:val="18"/>
        </w:rPr>
        <w:t>号</w:t>
      </w:r>
      <w:bookmarkEnd w:id="3"/>
      <w:r>
        <w:rPr>
          <w:rFonts w:hint="eastAsia" w:ascii="Calibri" w:hAnsi="Calibri"/>
          <w:sz w:val="18"/>
          <w:szCs w:val="18"/>
        </w:rPr>
        <w:t>）为基本依据，每个学生在校期间至少取得</w:t>
      </w:r>
      <w:r>
        <w:rPr>
          <w:rFonts w:ascii="Calibri" w:hAnsi="Calibri"/>
          <w:sz w:val="18"/>
          <w:szCs w:val="18"/>
        </w:rPr>
        <w:t>6</w:t>
      </w:r>
      <w:r>
        <w:rPr>
          <w:rFonts w:hint="eastAsia" w:ascii="Calibri" w:hAnsi="Calibri"/>
          <w:sz w:val="18"/>
          <w:szCs w:val="18"/>
        </w:rPr>
        <w:t>学分，每学年认定一次，由二级学院或</w:t>
      </w:r>
      <w:r>
        <w:rPr>
          <w:rFonts w:hint="eastAsia" w:ascii="Calibri" w:hAnsi="Calibri"/>
          <w:sz w:val="18"/>
          <w:szCs w:val="18"/>
          <w:lang w:eastAsia="zh-CN"/>
        </w:rPr>
        <w:t>活动</w:t>
      </w:r>
      <w:r>
        <w:rPr>
          <w:rFonts w:hint="eastAsia" w:ascii="Calibri" w:hAnsi="Calibri"/>
          <w:sz w:val="18"/>
          <w:szCs w:val="18"/>
        </w:rPr>
        <w:t>组织部门核定，报教务处审批后确认。</w:t>
      </w:r>
    </w:p>
    <w:p>
      <w:pPr>
        <w:adjustRightInd w:val="0"/>
        <w:snapToGrid w:val="0"/>
        <w:spacing w:before="156" w:beforeLines="50" w:after="156" w:afterLines="50" w:line="360" w:lineRule="exact"/>
        <w:ind w:firstLine="480" w:firstLineChars="200"/>
        <w:rPr>
          <w:rFonts w:ascii="Calibri" w:hAnsi="Calibri" w:eastAsia="黑体"/>
          <w:bCs/>
          <w:sz w:val="24"/>
          <w:szCs w:val="22"/>
        </w:rPr>
      </w:pPr>
      <w:r>
        <w:rPr>
          <w:rFonts w:hint="eastAsia" w:ascii="Calibri" w:hAnsi="Calibri" w:eastAsia="黑体"/>
          <w:bCs/>
          <w:sz w:val="24"/>
          <w:szCs w:val="22"/>
        </w:rPr>
        <w:t>八、课程体系与培养要求的对应关系矩阵</w:t>
      </w:r>
    </w:p>
    <w:tbl>
      <w:tblPr>
        <w:tblStyle w:val="4"/>
        <w:tblW w:w="8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281"/>
        <w:gridCol w:w="561"/>
        <w:gridCol w:w="533"/>
        <w:gridCol w:w="519"/>
        <w:gridCol w:w="559"/>
        <w:gridCol w:w="537"/>
        <w:gridCol w:w="514"/>
        <w:gridCol w:w="531"/>
        <w:gridCol w:w="518"/>
        <w:gridCol w:w="482"/>
        <w:gridCol w:w="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r>
              <w:rPr>
                <w:rFonts w:hint="eastAsia" w:ascii="Calibri" w:hAnsi="Calibri"/>
                <w:sz w:val="18"/>
                <w:szCs w:val="18"/>
              </w:rPr>
              <w:t>课程名称</w:t>
            </w: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r>
              <w:rPr>
                <w:rFonts w:hint="eastAsia" w:ascii="Calibri" w:hAnsi="Calibri"/>
                <w:sz w:val="18"/>
                <w:szCs w:val="18"/>
              </w:rPr>
              <w:t>知识</w:t>
            </w:r>
          </w:p>
          <w:p>
            <w:pPr>
              <w:spacing w:line="260" w:lineRule="exact"/>
              <w:ind w:left="42" w:leftChars="20"/>
              <w:jc w:val="center"/>
              <w:rPr>
                <w:rFonts w:ascii="Calibri" w:hAnsi="Calibri"/>
                <w:sz w:val="18"/>
                <w:szCs w:val="18"/>
              </w:rPr>
            </w:pPr>
            <w:r>
              <w:rPr>
                <w:rFonts w:hint="eastAsia" w:ascii="Calibri" w:hAnsi="Calibri"/>
                <w:sz w:val="18"/>
                <w:szCs w:val="18"/>
              </w:rPr>
              <w:t>要求</w:t>
            </w:r>
            <w:r>
              <w:rPr>
                <w:rFonts w:ascii="Calibri" w:hAnsi="Calibri"/>
                <w:sz w:val="18"/>
                <w:szCs w:val="18"/>
              </w:rPr>
              <w:t>1</w:t>
            </w: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r>
              <w:rPr>
                <w:rFonts w:hint="eastAsia" w:ascii="Calibri" w:hAnsi="Calibri"/>
                <w:sz w:val="18"/>
                <w:szCs w:val="18"/>
              </w:rPr>
              <w:t>知识</w:t>
            </w:r>
          </w:p>
          <w:p>
            <w:pPr>
              <w:spacing w:line="260" w:lineRule="exact"/>
              <w:ind w:left="42" w:leftChars="20"/>
              <w:jc w:val="center"/>
              <w:rPr>
                <w:rFonts w:ascii="Calibri" w:hAnsi="Calibri"/>
                <w:sz w:val="18"/>
                <w:szCs w:val="18"/>
              </w:rPr>
            </w:pPr>
            <w:r>
              <w:rPr>
                <w:rFonts w:hint="eastAsia" w:ascii="Calibri" w:hAnsi="Calibri"/>
                <w:sz w:val="18"/>
                <w:szCs w:val="18"/>
              </w:rPr>
              <w:t>要求</w:t>
            </w:r>
            <w:r>
              <w:rPr>
                <w:rFonts w:ascii="Calibri" w:hAnsi="Calibri"/>
                <w:sz w:val="18"/>
                <w:szCs w:val="18"/>
              </w:rPr>
              <w:t>2</w:t>
            </w: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r>
              <w:rPr>
                <w:rFonts w:hint="eastAsia" w:ascii="Calibri" w:hAnsi="Calibri"/>
                <w:sz w:val="18"/>
                <w:szCs w:val="18"/>
              </w:rPr>
              <w:t>知识</w:t>
            </w:r>
          </w:p>
          <w:p>
            <w:pPr>
              <w:spacing w:line="260" w:lineRule="exact"/>
              <w:ind w:left="42" w:leftChars="20"/>
              <w:jc w:val="center"/>
              <w:rPr>
                <w:rFonts w:ascii="Calibri" w:hAnsi="Calibri"/>
                <w:sz w:val="18"/>
                <w:szCs w:val="18"/>
              </w:rPr>
            </w:pPr>
            <w:r>
              <w:rPr>
                <w:rFonts w:hint="eastAsia" w:ascii="Calibri" w:hAnsi="Calibri"/>
                <w:sz w:val="18"/>
                <w:szCs w:val="18"/>
              </w:rPr>
              <w:t>要求</w:t>
            </w:r>
            <w:r>
              <w:rPr>
                <w:rFonts w:ascii="Calibri" w:hAnsi="Calibri"/>
                <w:sz w:val="18"/>
                <w:szCs w:val="18"/>
              </w:rPr>
              <w:t>3</w:t>
            </w: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r>
              <w:rPr>
                <w:rFonts w:hint="eastAsia" w:ascii="Calibri" w:hAnsi="Calibri"/>
                <w:sz w:val="18"/>
                <w:szCs w:val="18"/>
              </w:rPr>
              <w:t>能力</w:t>
            </w:r>
          </w:p>
          <w:p>
            <w:pPr>
              <w:spacing w:line="260" w:lineRule="exact"/>
              <w:ind w:left="42" w:leftChars="20"/>
              <w:jc w:val="center"/>
              <w:rPr>
                <w:rFonts w:ascii="Calibri" w:hAnsi="Calibri"/>
                <w:sz w:val="18"/>
                <w:szCs w:val="18"/>
              </w:rPr>
            </w:pPr>
            <w:r>
              <w:rPr>
                <w:rFonts w:hint="eastAsia" w:ascii="Calibri" w:hAnsi="Calibri"/>
                <w:sz w:val="18"/>
                <w:szCs w:val="18"/>
              </w:rPr>
              <w:t>要求</w:t>
            </w:r>
            <w:r>
              <w:rPr>
                <w:rFonts w:ascii="Calibri" w:hAnsi="Calibri"/>
                <w:sz w:val="18"/>
                <w:szCs w:val="18"/>
              </w:rPr>
              <w:t>1</w:t>
            </w: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r>
              <w:rPr>
                <w:rFonts w:hint="eastAsia" w:ascii="Calibri" w:hAnsi="Calibri"/>
                <w:sz w:val="18"/>
                <w:szCs w:val="18"/>
              </w:rPr>
              <w:t>能力</w:t>
            </w:r>
          </w:p>
          <w:p>
            <w:pPr>
              <w:spacing w:line="260" w:lineRule="exact"/>
              <w:ind w:left="42" w:leftChars="20"/>
              <w:jc w:val="center"/>
              <w:rPr>
                <w:rFonts w:ascii="Calibri" w:hAnsi="Calibri"/>
                <w:sz w:val="18"/>
                <w:szCs w:val="18"/>
              </w:rPr>
            </w:pPr>
            <w:r>
              <w:rPr>
                <w:rFonts w:hint="eastAsia" w:ascii="Calibri" w:hAnsi="Calibri"/>
                <w:sz w:val="18"/>
                <w:szCs w:val="18"/>
              </w:rPr>
              <w:t>要求</w:t>
            </w:r>
            <w:r>
              <w:rPr>
                <w:rFonts w:ascii="Calibri" w:hAnsi="Calibri"/>
                <w:sz w:val="18"/>
                <w:szCs w:val="18"/>
              </w:rPr>
              <w:t>2</w:t>
            </w: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r>
              <w:rPr>
                <w:rFonts w:hint="eastAsia" w:ascii="Calibri" w:hAnsi="Calibri"/>
                <w:sz w:val="18"/>
                <w:szCs w:val="18"/>
              </w:rPr>
              <w:t>素质</w:t>
            </w:r>
          </w:p>
          <w:p>
            <w:pPr>
              <w:spacing w:line="260" w:lineRule="exact"/>
              <w:ind w:left="42" w:leftChars="20"/>
              <w:jc w:val="center"/>
              <w:rPr>
                <w:rFonts w:ascii="Calibri" w:hAnsi="Calibri"/>
                <w:sz w:val="18"/>
                <w:szCs w:val="18"/>
              </w:rPr>
            </w:pPr>
            <w:r>
              <w:rPr>
                <w:rFonts w:hint="eastAsia" w:ascii="Calibri" w:hAnsi="Calibri"/>
                <w:sz w:val="18"/>
                <w:szCs w:val="18"/>
              </w:rPr>
              <w:t>要求</w:t>
            </w:r>
            <w:r>
              <w:rPr>
                <w:rFonts w:ascii="Calibri" w:hAnsi="Calibri"/>
                <w:sz w:val="18"/>
                <w:szCs w:val="18"/>
              </w:rPr>
              <w:t>1</w:t>
            </w: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r>
              <w:rPr>
                <w:rFonts w:hint="eastAsia" w:ascii="Calibri" w:hAnsi="Calibri"/>
                <w:sz w:val="18"/>
                <w:szCs w:val="18"/>
              </w:rPr>
              <w:t>素质</w:t>
            </w:r>
          </w:p>
          <w:p>
            <w:pPr>
              <w:spacing w:line="260" w:lineRule="exact"/>
              <w:ind w:left="42" w:leftChars="20"/>
              <w:jc w:val="center"/>
              <w:rPr>
                <w:rFonts w:ascii="Calibri" w:hAnsi="Calibri"/>
                <w:sz w:val="18"/>
                <w:szCs w:val="18"/>
              </w:rPr>
            </w:pPr>
            <w:r>
              <w:rPr>
                <w:rFonts w:hint="eastAsia" w:ascii="Calibri" w:hAnsi="Calibri"/>
                <w:sz w:val="18"/>
                <w:szCs w:val="18"/>
              </w:rPr>
              <w:t>要求</w:t>
            </w:r>
            <w:r>
              <w:rPr>
                <w:rFonts w:ascii="Calibri" w:hAnsi="Calibri"/>
                <w:sz w:val="18"/>
                <w:szCs w:val="18"/>
              </w:rPr>
              <w:t>2</w:t>
            </w: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r>
              <w:rPr>
                <w:rFonts w:hint="eastAsia" w:ascii="Calibri" w:hAnsi="Calibri"/>
                <w:sz w:val="18"/>
                <w:szCs w:val="18"/>
              </w:rPr>
              <w:t>素质</w:t>
            </w:r>
          </w:p>
          <w:p>
            <w:pPr>
              <w:spacing w:line="260" w:lineRule="exact"/>
              <w:ind w:left="42" w:leftChars="20"/>
              <w:jc w:val="center"/>
              <w:rPr>
                <w:rFonts w:ascii="Calibri" w:hAnsi="Calibri"/>
                <w:sz w:val="18"/>
                <w:szCs w:val="18"/>
              </w:rPr>
            </w:pPr>
            <w:r>
              <w:rPr>
                <w:rFonts w:hint="eastAsia" w:ascii="Calibri" w:hAnsi="Calibri"/>
                <w:sz w:val="18"/>
                <w:szCs w:val="18"/>
              </w:rPr>
              <w:t>要求</w:t>
            </w:r>
            <w:r>
              <w:rPr>
                <w:rFonts w:ascii="Calibri" w:hAnsi="Calibri"/>
                <w:sz w:val="18"/>
                <w:szCs w:val="18"/>
              </w:rPr>
              <w:t>3</w:t>
            </w: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r>
              <w:rPr>
                <w:rFonts w:hint="eastAsia" w:ascii="Calibri" w:hAnsi="Calibri"/>
                <w:sz w:val="18"/>
                <w:szCs w:val="18"/>
              </w:rPr>
              <w:t>素质</w:t>
            </w:r>
          </w:p>
          <w:p>
            <w:pPr>
              <w:spacing w:line="260" w:lineRule="exact"/>
              <w:ind w:left="42" w:leftChars="20"/>
              <w:jc w:val="center"/>
              <w:rPr>
                <w:rFonts w:ascii="Calibri" w:hAnsi="Calibri"/>
                <w:sz w:val="18"/>
                <w:szCs w:val="18"/>
              </w:rPr>
            </w:pPr>
            <w:r>
              <w:rPr>
                <w:rFonts w:hint="eastAsia" w:ascii="Calibri" w:hAnsi="Calibri"/>
                <w:sz w:val="18"/>
                <w:szCs w:val="18"/>
              </w:rPr>
              <w:t>要求</w:t>
            </w:r>
            <w:r>
              <w:rPr>
                <w:rFonts w:ascii="Calibri" w:hAnsi="Calibri"/>
                <w:sz w:val="18"/>
                <w:szCs w:val="18"/>
              </w:rPr>
              <w:t>4</w:t>
            </w: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r>
              <w:rPr>
                <w:rFonts w:hint="eastAsia" w:ascii="Calibri" w:hAnsi="Calibri"/>
                <w:sz w:val="18"/>
                <w:szCs w:val="18"/>
              </w:rPr>
              <w:t>素质</w:t>
            </w:r>
          </w:p>
          <w:p>
            <w:pPr>
              <w:spacing w:line="260" w:lineRule="exact"/>
              <w:ind w:left="42" w:leftChars="20"/>
              <w:jc w:val="center"/>
              <w:rPr>
                <w:rFonts w:ascii="Calibri" w:hAnsi="Calibri"/>
                <w:sz w:val="18"/>
                <w:szCs w:val="18"/>
              </w:rPr>
            </w:pPr>
            <w:r>
              <w:rPr>
                <w:rFonts w:hint="eastAsia" w:ascii="Calibri" w:hAnsi="Calibri"/>
                <w:sz w:val="18"/>
                <w:szCs w:val="18"/>
              </w:rPr>
              <w:t>要求</w:t>
            </w:r>
            <w:r>
              <w:rPr>
                <w:rFonts w:ascii="Calibri" w:hAnsi="Calibri"/>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 w:hRule="atLeast"/>
          <w:jc w:val="center"/>
        </w:trPr>
        <w:tc>
          <w:tcPr>
            <w:tcW w:w="328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left"/>
              <w:rPr>
                <w:rFonts w:ascii="Calibri" w:hAnsi="Calibri"/>
                <w:sz w:val="18"/>
                <w:szCs w:val="18"/>
              </w:rPr>
            </w:pPr>
          </w:p>
        </w:tc>
        <w:tc>
          <w:tcPr>
            <w:tcW w:w="56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5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1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48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ind w:left="42" w:leftChars="20"/>
              <w:jc w:val="center"/>
              <w:rPr>
                <w:rFonts w:ascii="Calibri" w:hAnsi="Calibri"/>
                <w:sz w:val="18"/>
                <w:szCs w:val="18"/>
              </w:rPr>
            </w:pPr>
          </w:p>
        </w:tc>
        <w:tc>
          <w:tcPr>
            <w:tcW w:w="537" w:type="dxa"/>
            <w:tcBorders>
              <w:top w:val="single" w:color="auto" w:sz="4" w:space="0"/>
              <w:left w:val="single" w:color="auto" w:sz="4" w:space="0"/>
              <w:bottom w:val="single" w:color="auto" w:sz="4" w:space="0"/>
              <w:right w:val="single" w:color="auto" w:sz="4" w:space="0"/>
            </w:tcBorders>
            <w:noWrap w:val="0"/>
            <w:vAlign w:val="top"/>
          </w:tcPr>
          <w:p>
            <w:pPr>
              <w:spacing w:line="260" w:lineRule="exact"/>
              <w:ind w:left="42" w:leftChars="20"/>
              <w:jc w:val="center"/>
              <w:rPr>
                <w:rFonts w:ascii="Calibri" w:hAnsi="Calibri"/>
                <w:sz w:val="18"/>
                <w:szCs w:val="18"/>
              </w:rPr>
            </w:pPr>
          </w:p>
        </w:tc>
      </w:tr>
    </w:tbl>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bookmarkStart w:id="4" w:name="page15"/>
      <w:bookmarkEnd w:id="4"/>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XX专业（专升本）人才培养方案</w:t>
      </w:r>
    </w:p>
    <w:p>
      <w:pPr>
        <w:jc w:val="center"/>
        <w:rPr>
          <w:rFonts w:hint="default" w:ascii="黑体" w:hAnsi="黑体" w:eastAsia="黑体" w:cs="黑体"/>
          <w:b/>
          <w:bCs/>
          <w:sz w:val="24"/>
          <w:szCs w:val="24"/>
          <w:lang w:val="en-US" w:eastAsia="zh-CN"/>
        </w:rPr>
      </w:pPr>
      <w:r>
        <w:rPr>
          <w:rFonts w:hint="eastAsia" w:ascii="黑体" w:hAnsi="黑体" w:eastAsia="黑体" w:cs="黑体"/>
          <w:b/>
          <w:bCs/>
          <w:sz w:val="24"/>
          <w:szCs w:val="24"/>
          <w:lang w:val="en-US" w:eastAsia="zh-CN"/>
        </w:rPr>
        <w:t>专业代码：   执笔人：   校对人：</w:t>
      </w:r>
    </w:p>
    <w:p>
      <w:pPr>
        <w:numPr>
          <w:ilvl w:val="0"/>
          <w:numId w:val="0"/>
        </w:numPr>
        <w:rPr>
          <w:rFonts w:hint="default" w:ascii="宋体" w:hAnsi="宋体" w:eastAsia="宋体" w:cs="宋体"/>
          <w:b/>
          <w:bCs/>
          <w:sz w:val="28"/>
          <w:szCs w:val="28"/>
          <w:lang w:val="en-US" w:eastAsia="zh-CN"/>
        </w:rPr>
      </w:pPr>
    </w:p>
    <w:p>
      <w:pPr>
        <w:numPr>
          <w:ilvl w:val="0"/>
          <w:numId w:val="0"/>
        </w:numPr>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招生对象</w:t>
      </w:r>
    </w:p>
    <w:p>
      <w:pPr>
        <w:numPr>
          <w:ilvl w:val="0"/>
          <w:numId w:val="0"/>
        </w:numPr>
        <w:ind w:firstLine="56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普通高职高专应届毕业生</w:t>
      </w:r>
    </w:p>
    <w:p>
      <w:pPr>
        <w:numPr>
          <w:ilvl w:val="0"/>
          <w:numId w:val="3"/>
        </w:numPr>
        <w:rPr>
          <w:rFonts w:hint="eastAsia" w:ascii="宋体" w:hAnsi="宋体" w:eastAsia="宋体" w:cs="宋体"/>
          <w:b/>
          <w:bCs/>
          <w:sz w:val="28"/>
          <w:szCs w:val="28"/>
        </w:rPr>
      </w:pPr>
      <w:r>
        <w:rPr>
          <w:rFonts w:hint="eastAsia" w:ascii="宋体" w:hAnsi="宋体" w:eastAsia="宋体" w:cs="宋体"/>
          <w:b/>
          <w:bCs/>
          <w:sz w:val="28"/>
          <w:szCs w:val="28"/>
        </w:rPr>
        <w:t>培养目标</w:t>
      </w:r>
    </w:p>
    <w:p>
      <w:pPr>
        <w:numPr>
          <w:ilvl w:val="0"/>
          <w:numId w:val="0"/>
        </w:numPr>
        <w:rPr>
          <w:rFonts w:hint="default"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（参考20</w:t>
      </w:r>
      <w:r>
        <w:rPr>
          <w:rFonts w:hint="eastAsia" w:ascii="宋体" w:hAnsi="宋体" w:cs="宋体"/>
          <w:b w:val="0"/>
          <w:bCs w:val="0"/>
          <w:sz w:val="28"/>
          <w:szCs w:val="28"/>
          <w:lang w:val="en-US" w:eastAsia="zh-CN"/>
        </w:rPr>
        <w:t>20</w:t>
      </w:r>
      <w:r>
        <w:rPr>
          <w:rFonts w:hint="eastAsia" w:ascii="宋体" w:hAnsi="宋体" w:eastAsia="宋体" w:cs="宋体"/>
          <w:b w:val="0"/>
          <w:bCs w:val="0"/>
          <w:sz w:val="28"/>
          <w:szCs w:val="28"/>
          <w:lang w:val="en-US" w:eastAsia="zh-CN"/>
        </w:rPr>
        <w:t>年版对应本科专业人才培养方案）</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培养</w:t>
      </w:r>
      <w:r>
        <w:rPr>
          <w:rFonts w:hint="eastAsia" w:ascii="宋体" w:hAnsi="宋体" w:eastAsia="宋体" w:cs="宋体"/>
          <w:b/>
          <w:bCs/>
          <w:sz w:val="28"/>
          <w:szCs w:val="28"/>
          <w:lang w:eastAsia="zh-CN"/>
        </w:rPr>
        <w:t>要求</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1．知识要求</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2．能力要求</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3．素质要求</w:t>
      </w:r>
    </w:p>
    <w:p>
      <w:pPr>
        <w:numPr>
          <w:ilvl w:val="0"/>
          <w:numId w:val="0"/>
        </w:num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(参考</w:t>
      </w:r>
      <w:r>
        <w:rPr>
          <w:rFonts w:hint="eastAsia" w:ascii="宋体" w:hAnsi="宋体" w:eastAsia="宋体" w:cs="宋体"/>
          <w:b w:val="0"/>
          <w:bCs w:val="0"/>
          <w:sz w:val="28"/>
          <w:szCs w:val="28"/>
          <w:lang w:val="en-US" w:eastAsia="zh-CN"/>
        </w:rPr>
        <w:t>20</w:t>
      </w:r>
      <w:r>
        <w:rPr>
          <w:rFonts w:hint="eastAsia" w:ascii="宋体" w:hAnsi="宋体" w:cs="宋体"/>
          <w:b w:val="0"/>
          <w:bCs w:val="0"/>
          <w:sz w:val="28"/>
          <w:szCs w:val="28"/>
          <w:lang w:val="en-US" w:eastAsia="zh-CN"/>
        </w:rPr>
        <w:t>20</w:t>
      </w:r>
      <w:r>
        <w:rPr>
          <w:rFonts w:hint="eastAsia" w:ascii="宋体" w:hAnsi="宋体" w:eastAsia="宋体" w:cs="宋体"/>
          <w:b w:val="0"/>
          <w:bCs w:val="0"/>
          <w:sz w:val="28"/>
          <w:szCs w:val="28"/>
          <w:lang w:val="en-US" w:eastAsia="zh-CN"/>
        </w:rPr>
        <w:t>年版对应本科专业人才培养方案）</w:t>
      </w:r>
    </w:p>
    <w:p>
      <w:pPr>
        <w:numPr>
          <w:ilvl w:val="0"/>
          <w:numId w:val="0"/>
        </w:num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四、毕业合格标准与学分要求</w:t>
      </w:r>
    </w:p>
    <w:p>
      <w:pPr>
        <w:numPr>
          <w:ilvl w:val="0"/>
          <w:numId w:val="0"/>
        </w:numPr>
        <w:ind w:firstLine="561"/>
        <w:rPr>
          <w:rFonts w:hint="eastAsia" w:ascii="宋体" w:hAnsi="宋体" w:eastAsia="宋体" w:cs="宋体"/>
          <w:sz w:val="28"/>
          <w:szCs w:val="28"/>
          <w:lang w:val="en-US" w:eastAsia="zh-CN"/>
        </w:rPr>
      </w:pPr>
      <w:r>
        <w:rPr>
          <w:rFonts w:hint="eastAsia" w:ascii="宋体" w:hAnsi="宋体" w:cs="宋体"/>
          <w:sz w:val="28"/>
          <w:szCs w:val="28"/>
          <w:lang w:val="en-US" w:eastAsia="zh-CN"/>
        </w:rPr>
        <w:t>（</w:t>
      </w:r>
      <w:r>
        <w:rPr>
          <w:rFonts w:hint="eastAsia" w:ascii="宋体" w:hAnsi="宋体" w:eastAsia="宋体" w:cs="宋体"/>
          <w:sz w:val="28"/>
          <w:szCs w:val="28"/>
          <w:lang w:val="en-US" w:eastAsia="zh-CN"/>
        </w:rPr>
        <w:t>参考20</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年版对应本科专业人才培养方案</w:t>
      </w:r>
      <w:r>
        <w:rPr>
          <w:rFonts w:hint="eastAsia" w:ascii="宋体" w:hAnsi="宋体" w:cs="宋体"/>
          <w:sz w:val="28"/>
          <w:szCs w:val="28"/>
          <w:lang w:val="en-US" w:eastAsia="zh-CN"/>
        </w:rPr>
        <w:t>）</w:t>
      </w:r>
    </w:p>
    <w:p>
      <w:pPr>
        <w:numPr>
          <w:ilvl w:val="0"/>
          <w:numId w:val="0"/>
        </w:numPr>
        <w:ind w:firstLine="561"/>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本专业总学分及各环节学分的具体要求见下表：</w:t>
      </w:r>
    </w:p>
    <w:p>
      <w:pPr>
        <w:spacing w:line="360" w:lineRule="exact"/>
        <w:ind w:firstLine="420" w:firstLineChars="200"/>
        <w:jc w:val="left"/>
        <w:rPr>
          <w:rFonts w:ascii="宋体" w:hAnsi="宋体" w:cs="宋体" w:eastAsiaTheme="minorEastAsia"/>
          <w:color w:val="000000" w:themeColor="text1"/>
          <w:szCs w:val="21"/>
          <w14:textFill>
            <w14:solidFill>
              <w14:schemeClr w14:val="tx1"/>
            </w14:solidFill>
          </w14:textFill>
        </w:rPr>
      </w:pPr>
      <w:r>
        <w:rPr>
          <w:rFonts w:hint="eastAsia" w:ascii="宋体" w:hAnsi="宋体" w:cs="宋体" w:eastAsiaTheme="minorEastAsia"/>
          <w:color w:val="000000" w:themeColor="text1"/>
          <w:szCs w:val="21"/>
          <w14:textFill>
            <w14:solidFill>
              <w14:schemeClr w14:val="tx1"/>
            </w14:solidFill>
          </w14:textFill>
        </w:rPr>
        <w:t>1．理论课程学分分配表</w:t>
      </w:r>
    </w:p>
    <w:tbl>
      <w:tblPr>
        <w:tblStyle w:val="4"/>
        <w:tblW w:w="861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592"/>
        <w:gridCol w:w="1364"/>
        <w:gridCol w:w="960"/>
        <w:gridCol w:w="1193"/>
        <w:gridCol w:w="251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课程类别</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课程性质</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学时</w:t>
            </w: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学分</w:t>
            </w: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百分比（%）</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（占总学分比例）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思想政治课</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必修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公共基础课</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必修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0" w:hRule="atLeast"/>
          <w:jc w:val="center"/>
        </w:trPr>
        <w:tc>
          <w:tcPr>
            <w:tcW w:w="2592" w:type="dxa"/>
            <w:vMerge w:val="restar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通识教育课</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必修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选修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259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学科（专业）基础课</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必修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36" w:hRule="atLeast"/>
          <w:jc w:val="center"/>
        </w:trPr>
        <w:tc>
          <w:tcPr>
            <w:tcW w:w="2592" w:type="dxa"/>
            <w:vMerge w:val="restart"/>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专业课</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必修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8" w:hRule="atLeast"/>
          <w:jc w:val="center"/>
        </w:trPr>
        <w:tc>
          <w:tcPr>
            <w:tcW w:w="2592" w:type="dxa"/>
            <w:vMerge w:val="continue"/>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选修</w:t>
            </w: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4" w:hRule="atLeast"/>
          <w:jc w:val="center"/>
        </w:trPr>
        <w:tc>
          <w:tcPr>
            <w:tcW w:w="2592"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合计</w:t>
            </w:r>
          </w:p>
        </w:tc>
        <w:tc>
          <w:tcPr>
            <w:tcW w:w="1364"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96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193"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510" w:type="dxa"/>
            <w:tcBorders>
              <w:top w:val="single" w:color="auto" w:sz="2" w:space="0"/>
              <w:left w:val="single" w:color="auto" w:sz="2" w:space="0"/>
              <w:bottom w:val="single" w:color="auto" w:sz="2" w:space="0"/>
              <w:right w:val="single" w:color="auto" w:sz="2"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bl>
    <w:p>
      <w:pPr>
        <w:spacing w:line="360" w:lineRule="exact"/>
        <w:ind w:firstLine="420" w:firstLineChars="200"/>
        <w:jc w:val="left"/>
        <w:rPr>
          <w:rFonts w:ascii="宋体" w:hAnsi="宋体" w:cs="宋体" w:eastAsiaTheme="minorEastAsia"/>
          <w:color w:val="000000" w:themeColor="text1"/>
          <w:szCs w:val="21"/>
          <w14:textFill>
            <w14:solidFill>
              <w14:schemeClr w14:val="tx1"/>
            </w14:solidFill>
          </w14:textFill>
        </w:rPr>
      </w:pPr>
      <w:r>
        <w:rPr>
          <w:rFonts w:hint="eastAsia" w:ascii="宋体" w:hAnsi="宋体" w:cs="宋体" w:eastAsiaTheme="minorEastAsia"/>
          <w:color w:val="000000" w:themeColor="text1"/>
          <w:szCs w:val="21"/>
          <w14:textFill>
            <w14:solidFill>
              <w14:schemeClr w14:val="tx1"/>
            </w14:solidFill>
          </w14:textFill>
        </w:rPr>
        <w:t>2．实践学分分配表</w:t>
      </w:r>
    </w:p>
    <w:tbl>
      <w:tblPr>
        <w:tblStyle w:val="4"/>
        <w:tblW w:w="8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1640"/>
        <w:gridCol w:w="683"/>
        <w:gridCol w:w="232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类别</w:t>
            </w:r>
          </w:p>
        </w:tc>
        <w:tc>
          <w:tcPr>
            <w:tcW w:w="1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学周+学时</w:t>
            </w: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学分</w:t>
            </w:r>
          </w:p>
        </w:tc>
        <w:tc>
          <w:tcPr>
            <w:tcW w:w="23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百分比（%）</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(占总学分比例)</w:t>
            </w:r>
          </w:p>
        </w:tc>
        <w:tc>
          <w:tcPr>
            <w:tcW w:w="11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集中实践课</w:t>
            </w:r>
          </w:p>
        </w:tc>
        <w:tc>
          <w:tcPr>
            <w:tcW w:w="1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3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jc w:val="center"/>
        </w:trPr>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理论课程中的实践（含课程实践和课外实践）</w:t>
            </w:r>
          </w:p>
        </w:tc>
        <w:tc>
          <w:tcPr>
            <w:tcW w:w="1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3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8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合计</w:t>
            </w:r>
          </w:p>
        </w:tc>
        <w:tc>
          <w:tcPr>
            <w:tcW w:w="16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68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32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11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bl>
    <w:p>
      <w:pPr>
        <w:numPr>
          <w:ilvl w:val="0"/>
          <w:numId w:val="0"/>
        </w:numPr>
        <w:ind w:firstLine="561"/>
        <w:rPr>
          <w:rFonts w:hint="default" w:ascii="宋体" w:hAnsi="宋体" w:eastAsia="宋体" w:cs="宋体"/>
          <w:sz w:val="28"/>
          <w:szCs w:val="28"/>
          <w:lang w:val="en-US" w:eastAsia="zh-CN"/>
        </w:rPr>
      </w:pPr>
      <w:r>
        <w:rPr>
          <w:rFonts w:hint="eastAsia" w:ascii="宋体" w:hAnsi="宋体" w:cs="宋体" w:eastAsiaTheme="minorEastAsia"/>
          <w:color w:val="000000" w:themeColor="text1"/>
          <w:szCs w:val="21"/>
          <w14:textFill>
            <w14:solidFill>
              <w14:schemeClr w14:val="tx1"/>
            </w14:solidFill>
          </w14:textFill>
        </w:rPr>
        <w:t>总学分：理论课程学分+集中实践课学分=</w:t>
      </w:r>
      <w:r>
        <w:rPr>
          <w:rFonts w:hint="eastAsia" w:ascii="宋体" w:hAnsi="宋体" w:cs="宋体" w:eastAsiaTheme="minorEastAsia"/>
          <w:color w:val="000000" w:themeColor="text1"/>
          <w:szCs w:val="21"/>
          <w:lang w:val="en-US" w:eastAsia="zh-CN"/>
          <w14:textFill>
            <w14:solidFill>
              <w14:schemeClr w14:val="tx1"/>
            </w14:solidFill>
          </w14:textFill>
        </w:rPr>
        <w:t xml:space="preserve">80 </w:t>
      </w:r>
      <w:r>
        <w:rPr>
          <w:rFonts w:hint="eastAsia" w:ascii="宋体" w:hAnsi="宋体" w:cs="宋体" w:eastAsiaTheme="minorEastAsia"/>
          <w:color w:val="000000" w:themeColor="text1"/>
          <w:szCs w:val="21"/>
          <w14:textFill>
            <w14:solidFill>
              <w14:schemeClr w14:val="tx1"/>
            </w14:solidFill>
          </w14:textFill>
        </w:rPr>
        <w:t>（说明：理论课程中的实践学分已计入理论课程学分，自主学习计学时不计学分）</w:t>
      </w:r>
    </w:p>
    <w:p>
      <w:pPr>
        <w:numPr>
          <w:ilvl w:val="0"/>
          <w:numId w:val="0"/>
        </w:num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五、学制与学位</w:t>
      </w:r>
    </w:p>
    <w:p>
      <w:pPr>
        <w:numPr>
          <w:ilvl w:val="0"/>
          <w:numId w:val="0"/>
        </w:numPr>
        <w:ind w:firstLine="560" w:firstLineChars="200"/>
        <w:rPr>
          <w:rFonts w:hint="eastAsia" w:ascii="宋体" w:hAnsi="宋体" w:eastAsia="宋体" w:cs="宋体"/>
          <w:b/>
          <w:bCs/>
          <w:sz w:val="28"/>
          <w:szCs w:val="28"/>
          <w:lang w:eastAsia="zh-CN"/>
        </w:rPr>
      </w:pPr>
      <w:r>
        <w:rPr>
          <w:rFonts w:hint="eastAsia" w:ascii="宋体" w:hAnsi="宋体" w:eastAsia="宋体" w:cs="宋体"/>
          <w:sz w:val="28"/>
          <w:szCs w:val="28"/>
          <w:lang w:val="en-US" w:eastAsia="zh-CN"/>
        </w:rPr>
        <w:t>标准学制：2年；学习年限2-4年</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授予学位：</w:t>
      </w:r>
      <w:r>
        <w:rPr>
          <w:rFonts w:hint="eastAsia" w:ascii="宋体" w:hAnsi="宋体" w:eastAsia="宋体" w:cs="宋体"/>
          <w:sz w:val="28"/>
          <w:szCs w:val="28"/>
        </w:rPr>
        <w:t>×××学士学位</w:t>
      </w:r>
    </w:p>
    <w:p>
      <w:pPr>
        <w:numPr>
          <w:ilvl w:val="0"/>
          <w:numId w:val="0"/>
        </w:num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六、专业核心课程</w:t>
      </w:r>
    </w:p>
    <w:p>
      <w:pPr>
        <w:ind w:firstLine="560" w:firstLineChars="200"/>
        <w:rPr>
          <w:rFonts w:hint="eastAsia" w:ascii="宋体" w:hAnsi="宋体" w:eastAsia="宋体" w:cs="宋体"/>
          <w:b/>
          <w:bCs/>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t>参</w:t>
      </w:r>
      <w:r>
        <w:rPr>
          <w:rFonts w:hint="eastAsia" w:ascii="宋体" w:hAnsi="宋体" w:eastAsia="宋体" w:cs="宋体"/>
          <w:sz w:val="28"/>
          <w:szCs w:val="28"/>
          <w:lang w:eastAsia="zh-CN"/>
        </w:rPr>
        <w:t>考</w:t>
      </w:r>
      <w:r>
        <w:rPr>
          <w:rFonts w:hint="eastAsia" w:ascii="宋体" w:hAnsi="宋体" w:eastAsia="宋体" w:cs="宋体"/>
          <w:sz w:val="28"/>
          <w:szCs w:val="28"/>
          <w:lang w:val="en-US" w:eastAsia="zh-CN"/>
        </w:rPr>
        <w:t>20</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年版</w:t>
      </w:r>
      <w:r>
        <w:rPr>
          <w:rFonts w:hint="eastAsia" w:ascii="宋体" w:hAnsi="宋体" w:eastAsia="宋体" w:cs="宋体"/>
          <w:sz w:val="28"/>
          <w:szCs w:val="28"/>
        </w:rPr>
        <w:t>对应本科专业人才培养方案</w:t>
      </w:r>
      <w:r>
        <w:rPr>
          <w:rFonts w:hint="eastAsia" w:ascii="宋体" w:hAnsi="宋体" w:eastAsia="宋体" w:cs="宋体"/>
          <w:sz w:val="28"/>
          <w:szCs w:val="28"/>
          <w:lang w:eastAsia="zh-CN"/>
        </w:rPr>
        <w:t>）</w:t>
      </w:r>
    </w:p>
    <w:p>
      <w:pPr>
        <w:numPr>
          <w:ilvl w:val="0"/>
          <w:numId w:val="0"/>
        </w:numPr>
        <w:ind w:leftChars="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七、课程体系</w:t>
      </w:r>
    </w:p>
    <w:tbl>
      <w:tblPr>
        <w:tblStyle w:val="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400"/>
        <w:gridCol w:w="792"/>
        <w:gridCol w:w="2964"/>
        <w:gridCol w:w="399"/>
        <w:gridCol w:w="383"/>
        <w:gridCol w:w="463"/>
        <w:gridCol w:w="446"/>
        <w:gridCol w:w="436"/>
        <w:gridCol w:w="6"/>
        <w:gridCol w:w="436"/>
        <w:gridCol w:w="7"/>
        <w:gridCol w:w="429"/>
        <w:gridCol w:w="406"/>
        <w:gridCol w:w="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Header/>
          <w:jc w:val="center"/>
        </w:trPr>
        <w:tc>
          <w:tcPr>
            <w:tcW w:w="587" w:type="dxa"/>
            <w:vMerge w:val="restart"/>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课程</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类别</w:t>
            </w:r>
          </w:p>
        </w:tc>
        <w:tc>
          <w:tcPr>
            <w:tcW w:w="400" w:type="dxa"/>
            <w:vMerge w:val="restart"/>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课程序号</w:t>
            </w:r>
          </w:p>
        </w:tc>
        <w:tc>
          <w:tcPr>
            <w:tcW w:w="792" w:type="dxa"/>
            <w:vMerge w:val="restart"/>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课程代码</w:t>
            </w:r>
          </w:p>
        </w:tc>
        <w:tc>
          <w:tcPr>
            <w:tcW w:w="2964" w:type="dxa"/>
            <w:vMerge w:val="restart"/>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课程名称</w:t>
            </w:r>
          </w:p>
        </w:tc>
        <w:tc>
          <w:tcPr>
            <w:tcW w:w="399" w:type="dxa"/>
            <w:vMerge w:val="restart"/>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总</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学</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时</w:t>
            </w:r>
          </w:p>
        </w:tc>
        <w:tc>
          <w:tcPr>
            <w:tcW w:w="383" w:type="dxa"/>
            <w:vMerge w:val="restart"/>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学</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分</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数</w:t>
            </w:r>
          </w:p>
        </w:tc>
        <w:tc>
          <w:tcPr>
            <w:tcW w:w="2223" w:type="dxa"/>
            <w:gridSpan w:val="7"/>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学时分配</w:t>
            </w:r>
          </w:p>
        </w:tc>
        <w:tc>
          <w:tcPr>
            <w:tcW w:w="406" w:type="dxa"/>
            <w:vMerge w:val="restart"/>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开课学期</w:t>
            </w:r>
          </w:p>
        </w:tc>
        <w:tc>
          <w:tcPr>
            <w:tcW w:w="463" w:type="dxa"/>
            <w:vMerge w:val="restart"/>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blHeader/>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792"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2964"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399"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383"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讲授</w:t>
            </w: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专题讲座</w:t>
            </w: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课程实践</w:t>
            </w: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课外实践</w:t>
            </w: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自主学习</w:t>
            </w:r>
          </w:p>
        </w:tc>
        <w:tc>
          <w:tcPr>
            <w:tcW w:w="406"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63"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587" w:type="dxa"/>
            <w:vMerge w:val="restart"/>
            <w:textDirection w:val="tbRlV"/>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思想政治课</w:t>
            </w:r>
          </w:p>
        </w:tc>
        <w:tc>
          <w:tcPr>
            <w:tcW w:w="400" w:type="dxa"/>
            <w:vMerge w:val="restart"/>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w:t>
            </w:r>
          </w:p>
        </w:tc>
        <w:tc>
          <w:tcPr>
            <w:tcW w:w="792"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09015251</w:t>
            </w:r>
          </w:p>
        </w:tc>
        <w:tc>
          <w:tcPr>
            <w:tcW w:w="2964" w:type="dxa"/>
            <w:vAlign w:val="center"/>
          </w:tcPr>
          <w:p>
            <w:pPr>
              <w:spacing w:line="240" w:lineRule="exact"/>
              <w:jc w:val="left"/>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形势与政策（一）</w:t>
            </w:r>
          </w:p>
          <w:p>
            <w:pPr>
              <w:spacing w:line="240" w:lineRule="exact"/>
              <w:jc w:val="left"/>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Situation and Policy (I)</w:t>
            </w:r>
          </w:p>
        </w:tc>
        <w:tc>
          <w:tcPr>
            <w:tcW w:w="399"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8</w:t>
            </w: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w:t>
            </w: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w:t>
            </w: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w:t>
            </w:r>
          </w:p>
        </w:tc>
        <w:tc>
          <w:tcPr>
            <w:tcW w:w="463" w:type="dxa"/>
            <w:vAlign w:val="center"/>
          </w:tcPr>
          <w:p>
            <w:pPr>
              <w:spacing w:line="240" w:lineRule="exact"/>
              <w:jc w:val="both"/>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Merge w:val="continue"/>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792"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09015221</w:t>
            </w:r>
          </w:p>
        </w:tc>
        <w:tc>
          <w:tcPr>
            <w:tcW w:w="2964" w:type="dxa"/>
            <w:vAlign w:val="center"/>
          </w:tcPr>
          <w:p>
            <w:pPr>
              <w:spacing w:line="240" w:lineRule="exact"/>
              <w:jc w:val="left"/>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形势与政策（二）</w:t>
            </w:r>
          </w:p>
          <w:p>
            <w:pPr>
              <w:spacing w:line="240" w:lineRule="exact"/>
              <w:jc w:val="left"/>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(Situation and Policy (II)</w:t>
            </w:r>
          </w:p>
        </w:tc>
        <w:tc>
          <w:tcPr>
            <w:tcW w:w="399"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8</w:t>
            </w: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w:t>
            </w: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w:t>
            </w: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2</w:t>
            </w:r>
          </w:p>
        </w:tc>
        <w:tc>
          <w:tcPr>
            <w:tcW w:w="463" w:type="dxa"/>
            <w:vAlign w:val="center"/>
          </w:tcPr>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792"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09015231</w:t>
            </w:r>
          </w:p>
        </w:tc>
        <w:tc>
          <w:tcPr>
            <w:tcW w:w="2964" w:type="dxa"/>
            <w:vAlign w:val="center"/>
          </w:tcPr>
          <w:p>
            <w:pPr>
              <w:spacing w:line="240" w:lineRule="exact"/>
              <w:jc w:val="left"/>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形势与政策（三）</w:t>
            </w:r>
          </w:p>
          <w:p>
            <w:pPr>
              <w:spacing w:line="240" w:lineRule="exact"/>
              <w:jc w:val="left"/>
              <w:rPr>
                <w:rFonts w:hint="eastAsia" w:ascii="宋体" w:hAnsi="宋体" w:cs="宋体" w:eastAsiaTheme="minorEastAsia"/>
                <w:color w:val="000000" w:themeColor="text1"/>
                <w:kern w:val="2"/>
                <w:sz w:val="18"/>
                <w:szCs w:val="18"/>
                <w:lang w:val="en-US" w:eastAsia="zh-CN" w:bidi="ar-SA"/>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Situation and Policy (III)</w:t>
            </w:r>
          </w:p>
        </w:tc>
        <w:tc>
          <w:tcPr>
            <w:tcW w:w="399"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8</w:t>
            </w: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w:t>
            </w: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w:t>
            </w: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3</w:t>
            </w:r>
          </w:p>
        </w:tc>
        <w:tc>
          <w:tcPr>
            <w:tcW w:w="463" w:type="dxa"/>
            <w:vAlign w:val="center"/>
          </w:tcPr>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792"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09015241</w:t>
            </w:r>
          </w:p>
        </w:tc>
        <w:tc>
          <w:tcPr>
            <w:tcW w:w="2964" w:type="dxa"/>
            <w:vAlign w:val="center"/>
          </w:tcPr>
          <w:p>
            <w:pPr>
              <w:spacing w:line="240" w:lineRule="exact"/>
              <w:jc w:val="left"/>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形势与政策（四）</w:t>
            </w:r>
          </w:p>
          <w:p>
            <w:pPr>
              <w:spacing w:line="240" w:lineRule="exact"/>
              <w:jc w:val="left"/>
              <w:rPr>
                <w:rFonts w:hint="eastAsia" w:ascii="宋体" w:hAnsi="宋体" w:cs="宋体" w:eastAsiaTheme="minorEastAsia"/>
                <w:color w:val="000000" w:themeColor="text1"/>
                <w:kern w:val="2"/>
                <w:sz w:val="18"/>
                <w:szCs w:val="18"/>
                <w:lang w:val="en-US" w:eastAsia="zh-CN" w:bidi="ar-SA"/>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(Situation and Policy (IV)</w:t>
            </w:r>
          </w:p>
        </w:tc>
        <w:tc>
          <w:tcPr>
            <w:tcW w:w="399"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8</w:t>
            </w: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w:t>
            </w: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w:t>
            </w: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w:t>
            </w:r>
          </w:p>
        </w:tc>
        <w:tc>
          <w:tcPr>
            <w:tcW w:w="463" w:type="dxa"/>
            <w:vAlign w:val="center"/>
          </w:tcPr>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156"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小计</w:t>
            </w:r>
          </w:p>
        </w:tc>
        <w:tc>
          <w:tcPr>
            <w:tcW w:w="399"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32</w:t>
            </w: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w:t>
            </w:r>
          </w:p>
        </w:tc>
        <w:tc>
          <w:tcPr>
            <w:tcW w:w="463"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16</w:t>
            </w: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16</w:t>
            </w: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restart"/>
            <w:textDirection w:val="tbRlV"/>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公共基础必修课</w:t>
            </w: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textDirection w:val="tbRlV"/>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textDirection w:val="tbRlV"/>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textDirection w:val="tbRlV"/>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587" w:type="dxa"/>
            <w:vMerge w:val="continue"/>
            <w:textDirection w:val="tbRlV"/>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156" w:type="dxa"/>
            <w:gridSpan w:val="3"/>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小计</w:t>
            </w:r>
          </w:p>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FF0000"/>
                <w:sz w:val="18"/>
                <w:szCs w:val="18"/>
                <w:lang w:val="en-US" w:eastAsia="zh-CN"/>
              </w:rPr>
              <w:t>（此模块开设英语课程3学分，数学课程7学分）</w:t>
            </w:r>
          </w:p>
        </w:tc>
        <w:tc>
          <w:tcPr>
            <w:tcW w:w="399"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160</w:t>
            </w:r>
          </w:p>
        </w:tc>
        <w:tc>
          <w:tcPr>
            <w:tcW w:w="383"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10</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restart"/>
            <w:textDirection w:val="tbRlV"/>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通识教育必修课</w:t>
            </w: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156"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小计</w:t>
            </w:r>
          </w:p>
        </w:tc>
        <w:tc>
          <w:tcPr>
            <w:tcW w:w="399"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0</w:t>
            </w: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0</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restart"/>
            <w:textDirection w:val="tbRlV"/>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通识教育</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选修课</w:t>
            </w:r>
          </w:p>
        </w:tc>
        <w:tc>
          <w:tcPr>
            <w:tcW w:w="4156" w:type="dxa"/>
            <w:gridSpan w:val="3"/>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FF0000"/>
                <w:sz w:val="18"/>
                <w:szCs w:val="18"/>
              </w:rPr>
              <w:t>此模块课程分</w:t>
            </w:r>
            <w:r>
              <w:rPr>
                <w:rFonts w:hint="eastAsia" w:ascii="宋体" w:hAnsi="宋体" w:cs="宋体" w:eastAsiaTheme="minorEastAsia"/>
                <w:color w:val="FF0000"/>
                <w:sz w:val="18"/>
                <w:szCs w:val="18"/>
                <w:lang w:eastAsia="zh-CN"/>
              </w:rPr>
              <w:t>三</w:t>
            </w:r>
            <w:r>
              <w:rPr>
                <w:rFonts w:hint="eastAsia" w:ascii="宋体" w:hAnsi="宋体" w:cs="宋体" w:eastAsiaTheme="minorEastAsia"/>
                <w:color w:val="FF0000"/>
                <w:sz w:val="18"/>
                <w:szCs w:val="18"/>
              </w:rPr>
              <w:t>学期开设，从第一学期开始选修，</w:t>
            </w:r>
            <w:r>
              <w:rPr>
                <w:rFonts w:hint="eastAsia" w:ascii="宋体" w:hAnsi="宋体" w:cs="宋体" w:eastAsiaTheme="minorEastAsia"/>
                <w:color w:val="FF0000"/>
                <w:sz w:val="18"/>
                <w:szCs w:val="18"/>
                <w:lang w:eastAsia="zh-CN"/>
              </w:rPr>
              <w:t>三</w:t>
            </w:r>
            <w:r>
              <w:rPr>
                <w:rFonts w:hint="eastAsia" w:ascii="宋体" w:hAnsi="宋体" w:cs="宋体" w:eastAsiaTheme="minorEastAsia"/>
                <w:color w:val="FF0000"/>
                <w:sz w:val="18"/>
                <w:szCs w:val="18"/>
              </w:rPr>
              <w:t>学期共选修不少于</w:t>
            </w:r>
            <w:r>
              <w:rPr>
                <w:rFonts w:hint="eastAsia" w:ascii="宋体" w:hAnsi="宋体" w:cs="宋体" w:eastAsiaTheme="minorEastAsia"/>
                <w:color w:val="FF0000"/>
                <w:sz w:val="18"/>
                <w:szCs w:val="18"/>
                <w:lang w:val="en-US" w:eastAsia="zh-CN"/>
              </w:rPr>
              <w:t>5</w:t>
            </w:r>
            <w:r>
              <w:rPr>
                <w:rFonts w:hint="eastAsia" w:ascii="宋体" w:hAnsi="宋体" w:cs="宋体" w:eastAsiaTheme="minorEastAsia"/>
                <w:color w:val="FF0000"/>
                <w:sz w:val="18"/>
                <w:szCs w:val="18"/>
              </w:rPr>
              <w:t>学分。</w:t>
            </w: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156"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小计</w:t>
            </w:r>
          </w:p>
        </w:tc>
        <w:tc>
          <w:tcPr>
            <w:tcW w:w="399"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80</w:t>
            </w:r>
          </w:p>
        </w:tc>
        <w:tc>
          <w:tcPr>
            <w:tcW w:w="383" w:type="dxa"/>
            <w:vAlign w:val="center"/>
          </w:tcPr>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5</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2"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gridSpan w:val="2"/>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restart"/>
            <w:textDirection w:val="tbRlV"/>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学科（专业）</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基础课</w:t>
            </w: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1</w:t>
            </w: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textDirection w:val="tbRlV"/>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2</w:t>
            </w: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textDirection w:val="tbRlV"/>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156"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小计</w:t>
            </w:r>
          </w:p>
        </w:tc>
        <w:tc>
          <w:tcPr>
            <w:tcW w:w="399"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432</w:t>
            </w:r>
          </w:p>
        </w:tc>
        <w:tc>
          <w:tcPr>
            <w:tcW w:w="383"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27</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587" w:type="dxa"/>
            <w:vMerge w:val="restart"/>
            <w:vAlign w:val="center"/>
          </w:tcPr>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专</w:t>
            </w:r>
          </w:p>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业</w:t>
            </w:r>
          </w:p>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必</w:t>
            </w:r>
          </w:p>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修</w:t>
            </w:r>
          </w:p>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课</w:t>
            </w:r>
          </w:p>
        </w:tc>
        <w:tc>
          <w:tcPr>
            <w:tcW w:w="400"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w:t>
            </w:r>
          </w:p>
        </w:tc>
        <w:tc>
          <w:tcPr>
            <w:tcW w:w="792"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2</w:t>
            </w:r>
          </w:p>
        </w:tc>
        <w:tc>
          <w:tcPr>
            <w:tcW w:w="792"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3</w:t>
            </w:r>
          </w:p>
        </w:tc>
        <w:tc>
          <w:tcPr>
            <w:tcW w:w="792"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792"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156" w:type="dxa"/>
            <w:gridSpan w:val="3"/>
            <w:vAlign w:val="center"/>
          </w:tcPr>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小计</w:t>
            </w:r>
          </w:p>
        </w:tc>
        <w:tc>
          <w:tcPr>
            <w:tcW w:w="399"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208</w:t>
            </w:r>
          </w:p>
        </w:tc>
        <w:tc>
          <w:tcPr>
            <w:tcW w:w="383"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13</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jc w:val="center"/>
        </w:trPr>
        <w:tc>
          <w:tcPr>
            <w:tcW w:w="587" w:type="dxa"/>
            <w:vMerge w:val="restart"/>
            <w:vAlign w:val="center"/>
          </w:tcPr>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专</w:t>
            </w:r>
          </w:p>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业</w:t>
            </w:r>
          </w:p>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选</w:t>
            </w:r>
          </w:p>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修</w:t>
            </w:r>
          </w:p>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课</w:t>
            </w:r>
          </w:p>
        </w:tc>
        <w:tc>
          <w:tcPr>
            <w:tcW w:w="400"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w:t>
            </w:r>
          </w:p>
        </w:tc>
        <w:tc>
          <w:tcPr>
            <w:tcW w:w="792"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2</w:t>
            </w:r>
          </w:p>
        </w:tc>
        <w:tc>
          <w:tcPr>
            <w:tcW w:w="792"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3</w:t>
            </w:r>
          </w:p>
        </w:tc>
        <w:tc>
          <w:tcPr>
            <w:tcW w:w="792"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792"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center"/>
              <w:rPr>
                <w:rFonts w:hint="eastAsia" w:ascii="宋体" w:hAnsi="宋体" w:cs="宋体" w:eastAsiaTheme="minorEastAsia"/>
                <w:color w:val="000000" w:themeColor="text1"/>
                <w:sz w:val="18"/>
                <w:szCs w:val="18"/>
                <w14:textFill>
                  <w14:solidFill>
                    <w14:schemeClr w14:val="tx1"/>
                  </w14:solidFill>
                </w14:textFill>
              </w:rPr>
            </w:pPr>
          </w:p>
        </w:tc>
        <w:tc>
          <w:tcPr>
            <w:tcW w:w="399"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156" w:type="dxa"/>
            <w:gridSpan w:val="3"/>
            <w:vAlign w:val="center"/>
          </w:tcPr>
          <w:p>
            <w:pPr>
              <w:spacing w:line="240" w:lineRule="exact"/>
              <w:jc w:val="center"/>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小计</w:t>
            </w:r>
          </w:p>
        </w:tc>
        <w:tc>
          <w:tcPr>
            <w:tcW w:w="399"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224</w:t>
            </w:r>
          </w:p>
        </w:tc>
        <w:tc>
          <w:tcPr>
            <w:tcW w:w="383"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14</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8617" w:type="dxa"/>
            <w:gridSpan w:val="15"/>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FF0000"/>
                <w:sz w:val="18"/>
                <w:szCs w:val="18"/>
              </w:rPr>
              <w:t>说明：</w:t>
            </w:r>
            <w:r>
              <w:rPr>
                <w:rFonts w:hint="eastAsia" w:ascii="宋体" w:hAnsi="宋体" w:cs="宋体" w:eastAsiaTheme="minorEastAsia"/>
                <w:color w:val="FF0000"/>
                <w:sz w:val="18"/>
                <w:szCs w:val="18"/>
                <w:lang w:eastAsia="zh-CN"/>
              </w:rPr>
              <w:t>专业课模块含专业必修课和专业选修课，共</w:t>
            </w:r>
            <w:r>
              <w:rPr>
                <w:rFonts w:hint="eastAsia" w:ascii="宋体" w:hAnsi="宋体" w:cs="宋体" w:eastAsiaTheme="minorEastAsia"/>
                <w:color w:val="FF0000"/>
                <w:sz w:val="18"/>
                <w:szCs w:val="18"/>
                <w:lang w:val="en-US" w:eastAsia="zh-CN"/>
              </w:rPr>
              <w:t>27学分，两者之间的学分分配可以略作调整。如需要开设专业实验课，请在专业课模块处理，可以通过课程实践方式，也可以单独开设实验课程</w:t>
            </w:r>
            <w:r>
              <w:rPr>
                <w:rFonts w:hint="eastAsia" w:ascii="宋体" w:hAnsi="宋体" w:cs="宋体" w:eastAsiaTheme="minorEastAsia"/>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restart"/>
            <w:textDirection w:val="tbLrV"/>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集中实践课</w:t>
            </w: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1</w:t>
            </w: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学年论文</w:t>
            </w:r>
          </w:p>
          <w:p>
            <w:pPr>
              <w:spacing w:line="240" w:lineRule="exact"/>
              <w:jc w:val="left"/>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Term Thesis</w:t>
            </w: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2</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4w</w:t>
            </w: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2</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textDirection w:val="tbRlV"/>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0"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2</w:t>
            </w:r>
          </w:p>
        </w:tc>
        <w:tc>
          <w:tcPr>
            <w:tcW w:w="792"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2964" w:type="dxa"/>
            <w:vAlign w:val="center"/>
          </w:tcPr>
          <w:p>
            <w:pPr>
              <w:spacing w:line="240" w:lineRule="exact"/>
              <w:jc w:val="left"/>
              <w:rPr>
                <w:rFonts w:hint="eastAsia" w:ascii="宋体" w:hAnsi="宋体" w:cs="宋体" w:eastAsiaTheme="minorEastAsia"/>
                <w:color w:val="000000" w:themeColor="text1"/>
                <w:sz w:val="18"/>
                <w:szCs w:val="18"/>
                <w:lang w:eastAsia="zh-CN"/>
                <w14:textFill>
                  <w14:solidFill>
                    <w14:schemeClr w14:val="tx1"/>
                  </w14:solidFill>
                </w14:textFill>
              </w:rPr>
            </w:pPr>
            <w:r>
              <w:rPr>
                <w:rFonts w:hint="eastAsia" w:ascii="宋体" w:hAnsi="宋体" w:cs="宋体" w:eastAsiaTheme="minorEastAsia"/>
                <w:color w:val="000000" w:themeColor="text1"/>
                <w:sz w:val="18"/>
                <w:szCs w:val="18"/>
                <w:lang w:eastAsia="zh-CN"/>
                <w14:textFill>
                  <w14:solidFill>
                    <w14:schemeClr w14:val="tx1"/>
                  </w14:solidFill>
                </w14:textFill>
              </w:rPr>
              <w:t>毕业论文</w:t>
            </w:r>
          </w:p>
          <w:p>
            <w:pPr>
              <w:spacing w:line="240" w:lineRule="exact"/>
              <w:jc w:val="left"/>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Graduation Thesis</w:t>
            </w: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hint="eastAsia"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8</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16w</w:t>
            </w: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4</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587" w:type="dxa"/>
            <w:vMerge w:val="continue"/>
            <w:vAlign w:val="center"/>
          </w:tcPr>
          <w:p>
            <w:pPr>
              <w:spacing w:line="240" w:lineRule="exact"/>
              <w:rPr>
                <w:rFonts w:ascii="宋体" w:hAnsi="宋体" w:cs="宋体" w:eastAsiaTheme="minorEastAsia"/>
                <w:color w:val="000000" w:themeColor="text1"/>
                <w:sz w:val="18"/>
                <w:szCs w:val="18"/>
                <w14:textFill>
                  <w14:solidFill>
                    <w14:schemeClr w14:val="tx1"/>
                  </w14:solidFill>
                </w14:textFill>
              </w:rPr>
            </w:pPr>
          </w:p>
        </w:tc>
        <w:tc>
          <w:tcPr>
            <w:tcW w:w="4156"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小计</w:t>
            </w: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10</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2" w:hRule="atLeast"/>
          <w:jc w:val="center"/>
        </w:trPr>
        <w:tc>
          <w:tcPr>
            <w:tcW w:w="4743" w:type="dxa"/>
            <w:gridSpan w:val="4"/>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合计</w:t>
            </w:r>
          </w:p>
        </w:tc>
        <w:tc>
          <w:tcPr>
            <w:tcW w:w="39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383" w:type="dxa"/>
            <w:vAlign w:val="center"/>
          </w:tcPr>
          <w:p>
            <w:pPr>
              <w:spacing w:line="240" w:lineRule="exact"/>
              <w:jc w:val="center"/>
              <w:rPr>
                <w:rFonts w:hint="default" w:ascii="宋体" w:hAnsi="宋体" w:cs="宋体" w:eastAsiaTheme="minorEastAsia"/>
                <w:color w:val="000000" w:themeColor="text1"/>
                <w:sz w:val="18"/>
                <w:szCs w:val="18"/>
                <w:lang w:val="en-US" w:eastAsia="zh-CN"/>
                <w14:textFill>
                  <w14:solidFill>
                    <w14:schemeClr w14:val="tx1"/>
                  </w14:solidFill>
                </w14:textFill>
              </w:rPr>
            </w:pPr>
            <w:r>
              <w:rPr>
                <w:rFonts w:hint="eastAsia" w:ascii="宋体" w:hAnsi="宋体" w:cs="宋体" w:eastAsiaTheme="minorEastAsia"/>
                <w:color w:val="000000" w:themeColor="text1"/>
                <w:sz w:val="18"/>
                <w:szCs w:val="18"/>
                <w:lang w:val="en-US" w:eastAsia="zh-CN"/>
                <w14:textFill>
                  <w14:solidFill>
                    <w14:schemeClr w14:val="tx1"/>
                  </w14:solidFill>
                </w14:textFill>
              </w:rPr>
              <w:t>80</w:t>
            </w: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36" w:type="dxa"/>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49" w:type="dxa"/>
            <w:gridSpan w:val="3"/>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29"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06"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463" w:type="dxa"/>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bl>
    <w:p>
      <w:pPr>
        <w:jc w:val="left"/>
        <w:rPr>
          <w:rFonts w:hint="eastAsia"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说明：大学生创新创业、社会实践活动合格要求：以《湖南财政经济学院大学生创新创业、社会实践活动学分认定办法》（湘财院院发﹝2019﹞138号）为基本依据，每个学生在校期间至少取得</w:t>
      </w:r>
      <w:r>
        <w:rPr>
          <w:rFonts w:hint="eastAsia" w:ascii="宋体" w:hAnsi="宋体" w:cs="宋体" w:eastAsiaTheme="minorEastAsia"/>
          <w:color w:val="auto"/>
          <w:sz w:val="18"/>
          <w:szCs w:val="18"/>
          <w:lang w:val="en-US" w:eastAsia="zh-CN"/>
        </w:rPr>
        <w:t>4</w:t>
      </w:r>
      <w:r>
        <w:rPr>
          <w:rFonts w:hint="eastAsia" w:ascii="宋体" w:hAnsi="宋体" w:cs="宋体" w:eastAsiaTheme="minorEastAsia"/>
          <w:color w:val="000000" w:themeColor="text1"/>
          <w:sz w:val="18"/>
          <w:szCs w:val="18"/>
          <w14:textFill>
            <w14:solidFill>
              <w14:schemeClr w14:val="tx1"/>
            </w14:solidFill>
          </w14:textFill>
        </w:rPr>
        <w:t>学分，每学年认定一次，由二级学院或</w:t>
      </w:r>
      <w:r>
        <w:rPr>
          <w:rFonts w:hint="eastAsia" w:ascii="宋体" w:hAnsi="宋体" w:cs="宋体" w:eastAsiaTheme="minorEastAsia"/>
          <w:color w:val="000000" w:themeColor="text1"/>
          <w:sz w:val="18"/>
          <w:szCs w:val="18"/>
          <w:lang w:eastAsia="zh-CN"/>
          <w14:textFill>
            <w14:solidFill>
              <w14:schemeClr w14:val="tx1"/>
            </w14:solidFill>
          </w14:textFill>
        </w:rPr>
        <w:t>活动</w:t>
      </w:r>
      <w:r>
        <w:rPr>
          <w:rFonts w:hint="eastAsia" w:ascii="宋体" w:hAnsi="宋体" w:cs="宋体" w:eastAsiaTheme="minorEastAsia"/>
          <w:color w:val="000000" w:themeColor="text1"/>
          <w:sz w:val="18"/>
          <w:szCs w:val="18"/>
          <w14:textFill>
            <w14:solidFill>
              <w14:schemeClr w14:val="tx1"/>
            </w14:solidFill>
          </w14:textFill>
        </w:rPr>
        <w:t>组织部门核定，报教务处审批后确认。</w:t>
      </w:r>
    </w:p>
    <w:p>
      <w:pPr>
        <w:ind w:firstLine="360" w:firstLineChars="200"/>
        <w:jc w:val="left"/>
        <w:rPr>
          <w:rFonts w:hint="eastAsia" w:ascii="宋体" w:hAnsi="宋体" w:cs="宋体" w:eastAsiaTheme="minorEastAsia"/>
          <w:color w:val="000000" w:themeColor="text1"/>
          <w:sz w:val="18"/>
          <w:szCs w:val="18"/>
          <w14:textFill>
            <w14:solidFill>
              <w14:schemeClr w14:val="tx1"/>
            </w14:solidFill>
          </w14:textFill>
        </w:rPr>
      </w:pPr>
    </w:p>
    <w:p>
      <w:pPr>
        <w:adjustRightInd w:val="0"/>
        <w:snapToGrid w:val="0"/>
        <w:spacing w:beforeLines="50" w:afterLines="50" w:line="360" w:lineRule="exact"/>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八、课程体系与培养要求的对应关系矩阵</w:t>
      </w:r>
    </w:p>
    <w:tbl>
      <w:tblPr>
        <w:tblStyle w:val="4"/>
        <w:tblW w:w="8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384"/>
        <w:gridCol w:w="524"/>
        <w:gridCol w:w="524"/>
        <w:gridCol w:w="524"/>
        <w:gridCol w:w="523"/>
        <w:gridCol w:w="523"/>
        <w:gridCol w:w="523"/>
        <w:gridCol w:w="523"/>
        <w:gridCol w:w="523"/>
        <w:gridCol w:w="523"/>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tblHeader/>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课程名称</w:t>
            </w: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知识</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要求1</w:t>
            </w: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知识</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要求2</w:t>
            </w: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知识</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要求3</w:t>
            </w: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能力</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要求1</w:t>
            </w: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能力</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要求2</w:t>
            </w: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素质</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要求1</w:t>
            </w: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素质</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要求2</w:t>
            </w: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素质</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要求3</w:t>
            </w: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素质</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要求4</w:t>
            </w: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素质</w:t>
            </w:r>
          </w:p>
          <w:p>
            <w:pPr>
              <w:spacing w:line="240" w:lineRule="exact"/>
              <w:jc w:val="center"/>
              <w:rPr>
                <w:rFonts w:ascii="宋体" w:hAnsi="宋体" w:cs="宋体" w:eastAsiaTheme="minorEastAsia"/>
                <w:color w:val="000000" w:themeColor="text1"/>
                <w:sz w:val="18"/>
                <w:szCs w:val="18"/>
                <w14:textFill>
                  <w14:solidFill>
                    <w14:schemeClr w14:val="tx1"/>
                  </w14:solidFill>
                </w14:textFill>
              </w:rPr>
            </w:pPr>
            <w:r>
              <w:rPr>
                <w:rFonts w:hint="eastAsia" w:ascii="宋体" w:hAnsi="宋体" w:cs="宋体" w:eastAsiaTheme="minorEastAsia"/>
                <w:color w:val="000000" w:themeColor="text1"/>
                <w:sz w:val="18"/>
                <w:szCs w:val="18"/>
                <w14:textFill>
                  <w14:solidFill>
                    <w14:schemeClr w14:val="tx1"/>
                  </w14:solidFill>
                </w14:textFill>
              </w:rPr>
              <w:t>要求5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384"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eastAsiaTheme="minorEastAsia"/>
                <w:color w:val="000000" w:themeColor="text1"/>
                <w:sz w:val="18"/>
                <w:szCs w:val="18"/>
                <w14:textFill>
                  <w14:solidFill>
                    <w14:schemeClr w14:val="tx1"/>
                  </w14:solidFill>
                </w14:textFill>
              </w:rPr>
            </w:pPr>
          </w:p>
        </w:tc>
      </w:tr>
    </w:tbl>
    <w:p>
      <w:pPr>
        <w:numPr>
          <w:ilvl w:val="0"/>
          <w:numId w:val="0"/>
        </w:numPr>
        <w:ind w:firstLine="560" w:firstLineChars="200"/>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80" w:firstLineChars="200"/>
        <w:textAlignment w:val="auto"/>
        <w:rPr>
          <w:rFonts w:hint="default" w:ascii="宋体" w:hAnsi="宋体" w:cs="宋体"/>
          <w:b w:val="0"/>
          <w:bCs w:val="0"/>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EE0AB"/>
    <w:multiLevelType w:val="singleLevel"/>
    <w:tmpl w:val="C2FEE0AB"/>
    <w:lvl w:ilvl="0" w:tentative="0">
      <w:start w:val="1"/>
      <w:numFmt w:val="decimal"/>
      <w:suff w:val="space"/>
      <w:lvlText w:val="%1."/>
      <w:lvlJc w:val="left"/>
    </w:lvl>
  </w:abstractNum>
  <w:abstractNum w:abstractNumId="1">
    <w:nsid w:val="C357FEE4"/>
    <w:multiLevelType w:val="singleLevel"/>
    <w:tmpl w:val="C357FEE4"/>
    <w:lvl w:ilvl="0" w:tentative="0">
      <w:start w:val="2"/>
      <w:numFmt w:val="chineseCounting"/>
      <w:suff w:val="nothing"/>
      <w:lvlText w:val="%1、"/>
      <w:lvlJc w:val="left"/>
      <w:rPr>
        <w:rFonts w:hint="eastAsia"/>
      </w:rPr>
    </w:lvl>
  </w:abstractNum>
  <w:abstractNum w:abstractNumId="2">
    <w:nsid w:val="7B2BF527"/>
    <w:multiLevelType w:val="singleLevel"/>
    <w:tmpl w:val="7B2BF527"/>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hYTBiZTNhMzgyZTNkNTRlODVhNWViZGYzNzI4YTEifQ=="/>
  </w:docVars>
  <w:rsids>
    <w:rsidRoot w:val="00000000"/>
    <w:rsid w:val="00E914B2"/>
    <w:rsid w:val="011C5CEE"/>
    <w:rsid w:val="015F5F2C"/>
    <w:rsid w:val="037D729F"/>
    <w:rsid w:val="03C66A3E"/>
    <w:rsid w:val="05B60799"/>
    <w:rsid w:val="08000AEE"/>
    <w:rsid w:val="08202C92"/>
    <w:rsid w:val="08EA68B8"/>
    <w:rsid w:val="0A6F7C1E"/>
    <w:rsid w:val="0B7F2691"/>
    <w:rsid w:val="0C8D16BA"/>
    <w:rsid w:val="0D7C0256"/>
    <w:rsid w:val="10694B93"/>
    <w:rsid w:val="132F0271"/>
    <w:rsid w:val="142C3C6B"/>
    <w:rsid w:val="15D07D12"/>
    <w:rsid w:val="15FF6B16"/>
    <w:rsid w:val="17D84A9E"/>
    <w:rsid w:val="17E21B65"/>
    <w:rsid w:val="194E7547"/>
    <w:rsid w:val="21CB5E80"/>
    <w:rsid w:val="22FB74CD"/>
    <w:rsid w:val="23B037EC"/>
    <w:rsid w:val="24EC6239"/>
    <w:rsid w:val="26B20C61"/>
    <w:rsid w:val="26B96187"/>
    <w:rsid w:val="2B5A17C8"/>
    <w:rsid w:val="2BAF3BEB"/>
    <w:rsid w:val="3118200E"/>
    <w:rsid w:val="339B350B"/>
    <w:rsid w:val="33C74139"/>
    <w:rsid w:val="36FB71FF"/>
    <w:rsid w:val="3A093335"/>
    <w:rsid w:val="3A1A6AE5"/>
    <w:rsid w:val="3AA75770"/>
    <w:rsid w:val="3DAC5621"/>
    <w:rsid w:val="429A2C8B"/>
    <w:rsid w:val="459E1E59"/>
    <w:rsid w:val="49AA23B2"/>
    <w:rsid w:val="4A6C5531"/>
    <w:rsid w:val="4D6D139C"/>
    <w:rsid w:val="50056B75"/>
    <w:rsid w:val="50081462"/>
    <w:rsid w:val="50AC684C"/>
    <w:rsid w:val="520003B7"/>
    <w:rsid w:val="52B4142D"/>
    <w:rsid w:val="53705D4B"/>
    <w:rsid w:val="549537A4"/>
    <w:rsid w:val="585D3BA1"/>
    <w:rsid w:val="5BAE779D"/>
    <w:rsid w:val="5D2D5717"/>
    <w:rsid w:val="5D5A1BF7"/>
    <w:rsid w:val="5DB605EE"/>
    <w:rsid w:val="5E197AB3"/>
    <w:rsid w:val="5E2174BB"/>
    <w:rsid w:val="615165F3"/>
    <w:rsid w:val="62EB1275"/>
    <w:rsid w:val="662E4F41"/>
    <w:rsid w:val="66AA3CDA"/>
    <w:rsid w:val="67BE15AD"/>
    <w:rsid w:val="6ADF6E0B"/>
    <w:rsid w:val="6B684D17"/>
    <w:rsid w:val="6C9D2ADA"/>
    <w:rsid w:val="6E3A4724"/>
    <w:rsid w:val="6EA36ACE"/>
    <w:rsid w:val="6F2D3AFF"/>
    <w:rsid w:val="716B13F9"/>
    <w:rsid w:val="71A31B56"/>
    <w:rsid w:val="74404DBF"/>
    <w:rsid w:val="7A82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eastAsia="zh-CN" w:bidi="zh-CN"/>
    </w:rPr>
  </w:style>
  <w:style w:type="paragraph" w:styleId="3">
    <w:name w:val="Normal (Web)"/>
    <w:qFormat/>
    <w:uiPriority w:val="0"/>
    <w:pPr>
      <w:widowControl w:val="0"/>
      <w:spacing w:beforeAutospacing="1" w:afterAutospacing="1"/>
      <w:jc w:val="left"/>
    </w:pPr>
    <w:rPr>
      <w:rFonts w:ascii="Calibri" w:hAnsi="Calibri" w:eastAsia="宋体" w:cs="Times New Roman"/>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0"/>
    <w:rPr>
      <w:b/>
    </w:rPr>
  </w:style>
  <w:style w:type="character" w:customStyle="1" w:styleId="8">
    <w:name w:val="15"/>
    <w:qFormat/>
    <w:uiPriority w:val="0"/>
    <w:rPr>
      <w:rFonts w:hint="default" w:ascii="Calibri" w:hAnsi="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2022-05-03T03:21:00Z</cp:lastPrinted>
  <dcterms:modified xsi:type="dcterms:W3CDTF">2022-05-06T02:54:35Z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BD075F869DDA43F8BF0914409D3990B9</vt:lpwstr>
  </property>
  <property fmtid="{D5CDD505-2E9C-101B-9397-08002B2CF9AE}" pid="4" name="commondata">
    <vt:lpwstr>eyJoZGlkIjoiNWZhYTBiZTNhMzgyZTNkNTRlODVhNWViZGYzNzI4YTEifQ==</vt:lpwstr>
  </property>
</Properties>
</file>