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4A" w:rsidRPr="00EF1D96" w:rsidRDefault="00CD3D4A" w:rsidP="00EF1D96">
      <w:pPr>
        <w:jc w:val="center"/>
        <w:rPr>
          <w:rFonts w:ascii="宋体" w:eastAsia="宋体" w:hAnsi="宋体" w:cs="Times New Roman"/>
          <w:sz w:val="36"/>
          <w:szCs w:val="36"/>
        </w:rPr>
      </w:pPr>
      <w:r w:rsidRPr="00EF1D96">
        <w:rPr>
          <w:rFonts w:ascii="宋体" w:eastAsia="宋体" w:hAnsi="宋体" w:cs="宋体" w:hint="eastAsia"/>
          <w:sz w:val="36"/>
          <w:szCs w:val="36"/>
        </w:rPr>
        <w:t>关于审核和提交通识教育选修课开课申请表的通知</w:t>
      </w:r>
    </w:p>
    <w:p w:rsidR="00CD3D4A" w:rsidRDefault="00CD3D4A" w:rsidP="003875A0">
      <w:pPr>
        <w:rPr>
          <w:rFonts w:ascii="仿宋_GB2312" w:eastAsia="仿宋_GB2312" w:hAnsi="宋体" w:cs="Times New Roman"/>
          <w:sz w:val="28"/>
          <w:szCs w:val="28"/>
        </w:rPr>
      </w:pPr>
    </w:p>
    <w:p w:rsidR="00CD3D4A" w:rsidRPr="00EF1D96" w:rsidRDefault="00CD3D4A" w:rsidP="003875A0">
      <w:pPr>
        <w:rPr>
          <w:rFonts w:ascii="仿宋_GB2312" w:eastAsia="仿宋_GB2312" w:hAnsi="宋体" w:cs="仿宋_GB2312"/>
          <w:sz w:val="28"/>
          <w:szCs w:val="28"/>
        </w:rPr>
      </w:pPr>
      <w:r w:rsidRPr="00EF1D96">
        <w:rPr>
          <w:rFonts w:ascii="仿宋_GB2312" w:eastAsia="仿宋_GB2312" w:hAnsi="宋体" w:cs="仿宋_GB2312" w:hint="eastAsia"/>
          <w:sz w:val="28"/>
          <w:szCs w:val="28"/>
        </w:rPr>
        <w:t>各教学部门：</w:t>
      </w:r>
      <w:r w:rsidRPr="00EF1D96">
        <w:rPr>
          <w:rFonts w:ascii="仿宋_GB2312" w:eastAsia="仿宋_GB2312" w:hAnsi="宋体" w:cs="仿宋_GB2312"/>
          <w:sz w:val="28"/>
          <w:szCs w:val="28"/>
        </w:rPr>
        <w:t xml:space="preserve"> </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hint="eastAsia"/>
          <w:sz w:val="28"/>
          <w:szCs w:val="28"/>
        </w:rPr>
        <w:t>通识教育选修课是我校人才培养方案的有机组成部分，对培养大学生的人文素养、科学精神及健全人格具有重要作用。为进一步加强对通识教育选修课的教学管理，提高通识教育选修课的教学质量，现要求各教学部门对本部门已提交的通识教育课程进行重新审核，具体要求如下：</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sz w:val="28"/>
          <w:szCs w:val="28"/>
        </w:rPr>
        <w:t>1.</w:t>
      </w:r>
      <w:r w:rsidRPr="00EF1D96">
        <w:rPr>
          <w:rFonts w:ascii="仿宋_GB2312" w:eastAsia="仿宋_GB2312" w:cs="仿宋_GB2312" w:hint="eastAsia"/>
          <w:sz w:val="28"/>
          <w:szCs w:val="28"/>
        </w:rPr>
        <w:t>加强对通识教育内涵的全面理解和学习</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hint="eastAsia"/>
          <w:sz w:val="28"/>
          <w:szCs w:val="28"/>
        </w:rPr>
        <w:t>通识教育应强调通识的特性，教学内容有一定的深度和广度，它不是专业课程的压缩版。通识教育选修课的开设应打破专业视野的局限，文理交融，学科交叉，重在帮助学生拓展视野，理解中外经典，了解自我、自然与社会，了解现代科学技术的新发现、新成果、激发科学兴趣，启迪创新意识，培养公民素质，对人、社会、文明、国家与世界的永恒问题进行思考；培养学生的思辨能力，引导学生逐渐形成对人类面对的共同问题的理解力，能够传承人类文明的优秀成果，学会认识世界、认识自我，健全人格，不断提升自我认知，构建健康向上的人生观、价值观和世界观，培养学生理性审视生活并逐步改造的能力。</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hint="eastAsia"/>
          <w:sz w:val="28"/>
          <w:szCs w:val="28"/>
        </w:rPr>
        <w:t>根据我校目前通识教育选修课程申报的情况来看，我校教学人员对通识教育课的内涵及作用认识明显不够清晰，请各教学部门积极组织教学人员加强对通识教育的内涵及作用的学习。学校也拟出台通识教育选修课工作量计算办法的相关激励措施。</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sz w:val="28"/>
          <w:szCs w:val="28"/>
        </w:rPr>
        <w:t>2.</w:t>
      </w:r>
      <w:r w:rsidRPr="00EF1D96">
        <w:rPr>
          <w:rFonts w:ascii="仿宋_GB2312" w:eastAsia="仿宋_GB2312" w:cs="仿宋_GB2312" w:hint="eastAsia"/>
          <w:sz w:val="28"/>
          <w:szCs w:val="28"/>
        </w:rPr>
        <w:t>全面改造现有通识教育选修课的课程名称及教学文件</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hint="eastAsia"/>
          <w:sz w:val="28"/>
          <w:szCs w:val="28"/>
        </w:rPr>
        <w:t>请各教学部门组织部门教学委员会以及教授博士召开通识教育教学研讨会及课程评审会，针对我校已申报的</w:t>
      </w:r>
      <w:r w:rsidRPr="00EF1D96">
        <w:rPr>
          <w:rFonts w:ascii="仿宋_GB2312" w:eastAsia="仿宋_GB2312" w:cs="仿宋_GB2312"/>
          <w:sz w:val="28"/>
          <w:szCs w:val="28"/>
        </w:rPr>
        <w:t>191</w:t>
      </w:r>
      <w:r w:rsidRPr="00EF1D96">
        <w:rPr>
          <w:rFonts w:ascii="仿宋_GB2312" w:eastAsia="仿宋_GB2312" w:cs="仿宋_GB2312" w:hint="eastAsia"/>
          <w:sz w:val="28"/>
          <w:szCs w:val="28"/>
        </w:rPr>
        <w:t>门通识教育课堂教学选修课程名称、开课内容及师资条件，逐门进行认真审核，并给出</w:t>
      </w:r>
      <w:r w:rsidRPr="00EF1D96">
        <w:rPr>
          <w:rFonts w:ascii="仿宋_GB2312" w:eastAsia="仿宋_GB2312" w:hAnsi="µÈÏß Western" w:cs="仿宋_GB2312" w:hint="eastAsia"/>
          <w:sz w:val="28"/>
          <w:szCs w:val="28"/>
        </w:rPr>
        <w:t>“</w:t>
      </w:r>
      <w:r w:rsidRPr="00EF1D96">
        <w:rPr>
          <w:rFonts w:ascii="仿宋_GB2312" w:eastAsia="仿宋_GB2312" w:cs="仿宋_GB2312" w:hint="eastAsia"/>
          <w:sz w:val="28"/>
          <w:szCs w:val="28"/>
        </w:rPr>
        <w:t>取消</w:t>
      </w:r>
      <w:r w:rsidRPr="00EF1D96">
        <w:rPr>
          <w:rFonts w:ascii="仿宋_GB2312" w:eastAsia="仿宋_GB2312" w:hAnsi="µÈÏß Western" w:cs="仿宋_GB2312" w:hint="eastAsia"/>
          <w:sz w:val="28"/>
          <w:szCs w:val="28"/>
        </w:rPr>
        <w:t>”“</w:t>
      </w:r>
      <w:r w:rsidRPr="00EF1D96">
        <w:rPr>
          <w:rFonts w:ascii="仿宋_GB2312" w:eastAsia="仿宋_GB2312" w:cs="仿宋_GB2312" w:hint="eastAsia"/>
          <w:sz w:val="28"/>
          <w:szCs w:val="28"/>
        </w:rPr>
        <w:t>降低学分</w:t>
      </w:r>
      <w:r w:rsidRPr="00EF1D96">
        <w:rPr>
          <w:rFonts w:ascii="仿宋_GB2312" w:eastAsia="仿宋_GB2312" w:hAnsi="µÈÏß Western" w:cs="仿宋_GB2312" w:hint="eastAsia"/>
          <w:sz w:val="28"/>
          <w:szCs w:val="28"/>
        </w:rPr>
        <w:t>”</w:t>
      </w:r>
      <w:r w:rsidRPr="00EF1D96">
        <w:rPr>
          <w:rFonts w:ascii="仿宋_GB2312" w:eastAsia="仿宋_GB2312" w:cs="仿宋_GB2312" w:hint="eastAsia"/>
          <w:sz w:val="28"/>
          <w:szCs w:val="28"/>
        </w:rPr>
        <w:t>和</w:t>
      </w:r>
      <w:r w:rsidRPr="00EF1D96">
        <w:rPr>
          <w:rFonts w:ascii="仿宋_GB2312" w:eastAsia="仿宋_GB2312" w:hAnsi="µÈÏß Western" w:cs="仿宋_GB2312" w:hint="eastAsia"/>
          <w:sz w:val="28"/>
          <w:szCs w:val="28"/>
        </w:rPr>
        <w:t>“</w:t>
      </w:r>
      <w:r w:rsidRPr="00EF1D96">
        <w:rPr>
          <w:rFonts w:ascii="仿宋_GB2312" w:eastAsia="仿宋_GB2312" w:cs="仿宋_GB2312" w:hint="eastAsia"/>
          <w:sz w:val="28"/>
          <w:szCs w:val="28"/>
        </w:rPr>
        <w:t>名称及授课内容修改</w:t>
      </w:r>
      <w:r w:rsidRPr="00EF1D96">
        <w:rPr>
          <w:rFonts w:ascii="仿宋_GB2312" w:eastAsia="仿宋_GB2312" w:hAnsi="µÈÏß Western" w:cs="仿宋_GB2312" w:hint="eastAsia"/>
          <w:sz w:val="28"/>
          <w:szCs w:val="28"/>
        </w:rPr>
        <w:t>”</w:t>
      </w:r>
      <w:r w:rsidRPr="00EF1D96">
        <w:rPr>
          <w:rFonts w:ascii="仿宋_GB2312" w:eastAsia="仿宋_GB2312" w:cs="仿宋_GB2312" w:hint="eastAsia"/>
          <w:sz w:val="28"/>
          <w:szCs w:val="28"/>
        </w:rPr>
        <w:t>等建议。原则上，各通识选修课的学分设置为</w:t>
      </w:r>
      <w:r w:rsidRPr="00EF1D96">
        <w:rPr>
          <w:rFonts w:ascii="仿宋_GB2312" w:eastAsia="仿宋_GB2312" w:cs="仿宋_GB2312"/>
          <w:sz w:val="28"/>
          <w:szCs w:val="28"/>
        </w:rPr>
        <w:t>1</w:t>
      </w:r>
      <w:r w:rsidRPr="00EF1D96">
        <w:rPr>
          <w:rFonts w:ascii="仿宋_GB2312" w:eastAsia="仿宋_GB2312" w:cs="仿宋_GB2312" w:hint="eastAsia"/>
          <w:sz w:val="28"/>
          <w:szCs w:val="28"/>
        </w:rPr>
        <w:t>分，部分优质课程经审核认定后可以提高学分。</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sz w:val="28"/>
          <w:szCs w:val="28"/>
        </w:rPr>
        <w:t>3.</w:t>
      </w:r>
      <w:r w:rsidRPr="00EF1D96">
        <w:rPr>
          <w:rFonts w:ascii="仿宋_GB2312" w:eastAsia="仿宋_GB2312" w:cs="仿宋_GB2312" w:hint="eastAsia"/>
          <w:sz w:val="28"/>
          <w:szCs w:val="28"/>
        </w:rPr>
        <w:t>提交通识教育选修课开课申请表</w:t>
      </w:r>
    </w:p>
    <w:p w:rsidR="00CD3D4A" w:rsidRPr="00EF1D96" w:rsidRDefault="00CD3D4A" w:rsidP="00EF1D96">
      <w:pPr>
        <w:ind w:firstLineChars="200" w:firstLine="31680"/>
        <w:rPr>
          <w:rFonts w:ascii="仿宋_GB2312" w:eastAsia="仿宋_GB2312" w:cs="Times New Roman"/>
          <w:sz w:val="28"/>
          <w:szCs w:val="28"/>
        </w:rPr>
      </w:pPr>
      <w:r w:rsidRPr="00EF1D96">
        <w:rPr>
          <w:rFonts w:ascii="仿宋_GB2312" w:eastAsia="仿宋_GB2312" w:cs="仿宋_GB2312" w:hint="eastAsia"/>
          <w:sz w:val="28"/>
          <w:szCs w:val="28"/>
        </w:rPr>
        <w:t>根据《湖南财政经济学院本科通识教育改革实施方案》（湘财院校发〔</w:t>
      </w:r>
      <w:r w:rsidRPr="00EF1D96">
        <w:rPr>
          <w:rFonts w:ascii="仿宋_GB2312" w:eastAsia="仿宋_GB2312" w:cs="仿宋_GB2312"/>
          <w:sz w:val="28"/>
          <w:szCs w:val="28"/>
        </w:rPr>
        <w:t>2019</w:t>
      </w:r>
      <w:r w:rsidRPr="00EF1D96">
        <w:rPr>
          <w:rFonts w:ascii="仿宋_GB2312" w:eastAsia="仿宋_GB2312" w:cs="仿宋_GB2312" w:hint="eastAsia"/>
          <w:sz w:val="28"/>
          <w:szCs w:val="28"/>
        </w:rPr>
        <w:t>〕</w:t>
      </w:r>
      <w:r w:rsidRPr="00EF1D96">
        <w:rPr>
          <w:rFonts w:ascii="仿宋_GB2312" w:eastAsia="仿宋_GB2312" w:cs="仿宋_GB2312"/>
          <w:sz w:val="28"/>
          <w:szCs w:val="28"/>
        </w:rPr>
        <w:t xml:space="preserve">58 </w:t>
      </w:r>
      <w:r w:rsidRPr="00EF1D96">
        <w:rPr>
          <w:rFonts w:ascii="仿宋_GB2312" w:eastAsia="仿宋_GB2312" w:cs="仿宋_GB2312" w:hint="eastAsia"/>
          <w:sz w:val="28"/>
          <w:szCs w:val="28"/>
        </w:rPr>
        <w:t>号）文件精神，对各教学部门初审合格的通识教育选修课程需提交《湖南财政经济学院</w:t>
      </w:r>
      <w:r w:rsidRPr="00EF1D96">
        <w:rPr>
          <w:rFonts w:ascii="仿宋_GB2312" w:eastAsia="仿宋_GB2312" w:cs="仿宋_GB2312"/>
          <w:sz w:val="28"/>
          <w:szCs w:val="28"/>
        </w:rPr>
        <w:t>2019</w:t>
      </w:r>
      <w:r w:rsidRPr="00EF1D96">
        <w:rPr>
          <w:rFonts w:ascii="仿宋_GB2312" w:eastAsia="仿宋_GB2312" w:cs="仿宋_GB2312" w:hint="eastAsia"/>
          <w:sz w:val="28"/>
          <w:szCs w:val="28"/>
        </w:rPr>
        <w:t>学年度通识教育选修课开课申请表》（见附表），并于</w:t>
      </w:r>
      <w:r w:rsidRPr="00EF1D96">
        <w:rPr>
          <w:rFonts w:ascii="仿宋_GB2312" w:eastAsia="仿宋_GB2312" w:cs="仿宋_GB2312"/>
          <w:sz w:val="28"/>
          <w:szCs w:val="28"/>
        </w:rPr>
        <w:t>7</w:t>
      </w:r>
      <w:r w:rsidRPr="00EF1D96">
        <w:rPr>
          <w:rFonts w:ascii="仿宋_GB2312" w:eastAsia="仿宋_GB2312" w:cs="仿宋_GB2312" w:hint="eastAsia"/>
          <w:sz w:val="28"/>
          <w:szCs w:val="28"/>
        </w:rPr>
        <w:t>月</w:t>
      </w:r>
      <w:r w:rsidRPr="00EF1D96">
        <w:rPr>
          <w:rFonts w:ascii="仿宋_GB2312" w:eastAsia="仿宋_GB2312" w:cs="仿宋_GB2312"/>
          <w:sz w:val="28"/>
          <w:szCs w:val="28"/>
        </w:rPr>
        <w:t>21</w:t>
      </w:r>
      <w:r w:rsidRPr="00EF1D96">
        <w:rPr>
          <w:rFonts w:ascii="仿宋_GB2312" w:eastAsia="仿宋_GB2312" w:cs="仿宋_GB2312" w:hint="eastAsia"/>
          <w:sz w:val="28"/>
          <w:szCs w:val="28"/>
        </w:rPr>
        <w:t>日前提交到通识教育中心进行审核和认定。</w:t>
      </w:r>
    </w:p>
    <w:p w:rsidR="00CD3D4A" w:rsidRPr="00EF1D96" w:rsidRDefault="00CD3D4A" w:rsidP="00EF1D96">
      <w:pPr>
        <w:ind w:right="840"/>
        <w:jc w:val="right"/>
        <w:rPr>
          <w:rFonts w:ascii="仿宋_GB2312" w:eastAsia="仿宋_GB2312" w:cs="Times New Roman"/>
          <w:sz w:val="28"/>
          <w:szCs w:val="28"/>
        </w:rPr>
      </w:pPr>
      <w:r w:rsidRPr="00EF1D96">
        <w:rPr>
          <w:rFonts w:ascii="仿宋_GB2312" w:eastAsia="仿宋_GB2312" w:cs="仿宋_GB2312" w:hint="eastAsia"/>
          <w:sz w:val="28"/>
          <w:szCs w:val="28"/>
        </w:rPr>
        <w:t>教务处</w:t>
      </w:r>
    </w:p>
    <w:p w:rsidR="00CD3D4A" w:rsidRPr="00EF1D96" w:rsidRDefault="00CD3D4A" w:rsidP="00F60958">
      <w:pPr>
        <w:jc w:val="right"/>
        <w:rPr>
          <w:rFonts w:ascii="仿宋_GB2312" w:eastAsia="仿宋_GB2312" w:cs="Times New Roman"/>
          <w:sz w:val="28"/>
          <w:szCs w:val="28"/>
        </w:rPr>
      </w:pPr>
      <w:r w:rsidRPr="00EF1D96">
        <w:rPr>
          <w:rFonts w:ascii="仿宋_GB2312" w:eastAsia="仿宋_GB2312" w:cs="仿宋_GB2312"/>
          <w:sz w:val="28"/>
          <w:szCs w:val="28"/>
        </w:rPr>
        <w:t>2019</w:t>
      </w:r>
      <w:r w:rsidRPr="00EF1D96">
        <w:rPr>
          <w:rFonts w:ascii="仿宋_GB2312" w:eastAsia="仿宋_GB2312" w:cs="仿宋_GB2312" w:hint="eastAsia"/>
          <w:sz w:val="28"/>
          <w:szCs w:val="28"/>
        </w:rPr>
        <w:t>年</w:t>
      </w:r>
      <w:r w:rsidRPr="00EF1D96">
        <w:rPr>
          <w:rFonts w:ascii="仿宋_GB2312" w:eastAsia="仿宋_GB2312" w:cs="仿宋_GB2312"/>
          <w:sz w:val="28"/>
          <w:szCs w:val="28"/>
        </w:rPr>
        <w:t>7</w:t>
      </w:r>
      <w:r w:rsidRPr="00EF1D96">
        <w:rPr>
          <w:rFonts w:ascii="仿宋_GB2312" w:eastAsia="仿宋_GB2312" w:cs="仿宋_GB2312" w:hint="eastAsia"/>
          <w:sz w:val="28"/>
          <w:szCs w:val="28"/>
        </w:rPr>
        <w:t>月</w:t>
      </w:r>
      <w:r w:rsidRPr="00EF1D96">
        <w:rPr>
          <w:rFonts w:ascii="仿宋_GB2312" w:eastAsia="仿宋_GB2312" w:cs="仿宋_GB2312"/>
          <w:sz w:val="28"/>
          <w:szCs w:val="28"/>
        </w:rPr>
        <w:t>11</w:t>
      </w:r>
      <w:r w:rsidRPr="00EF1D96">
        <w:rPr>
          <w:rFonts w:ascii="仿宋_GB2312" w:eastAsia="仿宋_GB2312" w:cs="仿宋_GB2312" w:hint="eastAsia"/>
          <w:sz w:val="28"/>
          <w:szCs w:val="28"/>
        </w:rPr>
        <w:t>日</w:t>
      </w:r>
    </w:p>
    <w:p w:rsidR="00CD3D4A" w:rsidRPr="00F60958" w:rsidRDefault="00CD3D4A" w:rsidP="003875A0">
      <w:pPr>
        <w:rPr>
          <w:rFonts w:eastAsia="仿宋" w:cs="Times New Roman"/>
          <w:sz w:val="32"/>
          <w:szCs w:val="32"/>
        </w:rPr>
      </w:pPr>
    </w:p>
    <w:p w:rsidR="00CD3D4A" w:rsidRDefault="00CD3D4A" w:rsidP="003875A0">
      <w:pPr>
        <w:rPr>
          <w:rFonts w:cs="Times New Roman"/>
          <w:sz w:val="32"/>
          <w:szCs w:val="32"/>
        </w:rPr>
      </w:pPr>
    </w:p>
    <w:p w:rsidR="00CD3D4A" w:rsidRDefault="00CD3D4A" w:rsidP="003875A0">
      <w:pPr>
        <w:rPr>
          <w:rFonts w:cs="Times New Roman"/>
          <w:sz w:val="32"/>
          <w:szCs w:val="32"/>
        </w:rPr>
      </w:pPr>
    </w:p>
    <w:p w:rsidR="00CD3D4A" w:rsidRDefault="00CD3D4A" w:rsidP="003875A0">
      <w:pPr>
        <w:rPr>
          <w:rFonts w:cs="Times New Roman"/>
          <w:sz w:val="32"/>
          <w:szCs w:val="32"/>
        </w:rPr>
      </w:pPr>
    </w:p>
    <w:p w:rsidR="00CD3D4A" w:rsidRDefault="00CD3D4A" w:rsidP="003875A0">
      <w:pPr>
        <w:rPr>
          <w:rFonts w:cs="Times New Roman"/>
          <w:sz w:val="32"/>
          <w:szCs w:val="32"/>
        </w:rPr>
      </w:pPr>
    </w:p>
    <w:p w:rsidR="00CD3D4A" w:rsidRPr="00C63E5F" w:rsidRDefault="00CD3D4A" w:rsidP="00C63E5F">
      <w:pPr>
        <w:jc w:val="left"/>
        <w:rPr>
          <w:rFonts w:cs="Times New Roman"/>
          <w:sz w:val="28"/>
          <w:szCs w:val="28"/>
        </w:rPr>
      </w:pPr>
      <w:r w:rsidRPr="00C63E5F">
        <w:rPr>
          <w:rFonts w:hint="eastAsia"/>
          <w:sz w:val="28"/>
          <w:szCs w:val="28"/>
        </w:rPr>
        <w:t>附表：</w:t>
      </w:r>
    </w:p>
    <w:p w:rsidR="00CD3D4A" w:rsidRDefault="00CD3D4A" w:rsidP="00C63E5F">
      <w:pPr>
        <w:jc w:val="center"/>
        <w:rPr>
          <w:rFonts w:cs="Times New Roman"/>
          <w:sz w:val="28"/>
          <w:szCs w:val="28"/>
        </w:rPr>
      </w:pPr>
      <w:r w:rsidRPr="00C63E5F">
        <w:rPr>
          <w:rFonts w:hint="eastAsia"/>
          <w:sz w:val="28"/>
          <w:szCs w:val="28"/>
        </w:rPr>
        <w:t>湖南财政经济学院</w:t>
      </w:r>
      <w:r w:rsidRPr="00C63E5F">
        <w:rPr>
          <w:sz w:val="28"/>
          <w:szCs w:val="28"/>
        </w:rPr>
        <w:t>2019</w:t>
      </w:r>
      <w:r w:rsidRPr="00C63E5F">
        <w:rPr>
          <w:rFonts w:hint="eastAsia"/>
          <w:sz w:val="28"/>
          <w:szCs w:val="28"/>
        </w:rPr>
        <w:t>学年通识教育选修课开课申请表</w:t>
      </w:r>
    </w:p>
    <w:p w:rsidR="00CD3D4A" w:rsidRPr="00C63E5F" w:rsidRDefault="00CD3D4A" w:rsidP="00C63E5F">
      <w:pPr>
        <w:jc w:val="left"/>
        <w:rPr>
          <w:rFonts w:cs="Times New Roman"/>
          <w:sz w:val="28"/>
          <w:szCs w:val="28"/>
        </w:rPr>
      </w:pPr>
      <w:r>
        <w:rPr>
          <w:rFonts w:hint="eastAsia"/>
          <w:sz w:val="28"/>
          <w:szCs w:val="28"/>
        </w:rPr>
        <w:t>开课学院</w:t>
      </w:r>
      <w:r>
        <w:rPr>
          <w:sz w:val="28"/>
          <w:szCs w:val="28"/>
        </w:rPr>
        <w:t>/</w:t>
      </w:r>
      <w:r>
        <w:rPr>
          <w:rFonts w:hint="eastAsia"/>
          <w:sz w:val="28"/>
          <w:szCs w:val="28"/>
        </w:rPr>
        <w:t>部门：</w:t>
      </w:r>
      <w:r>
        <w:rPr>
          <w:sz w:val="28"/>
          <w:szCs w:val="28"/>
        </w:rPr>
        <w:t xml:space="preserve">                   </w:t>
      </w:r>
      <w:r w:rsidRPr="00C63E5F">
        <w:rPr>
          <w:rFonts w:hint="eastAsia"/>
          <w:sz w:val="28"/>
          <w:szCs w:val="28"/>
        </w:rPr>
        <w:t>填表日期：</w:t>
      </w:r>
      <w:r w:rsidRPr="00C63E5F">
        <w:rPr>
          <w:sz w:val="28"/>
          <w:szCs w:val="28"/>
        </w:rPr>
        <w:t xml:space="preserve">   </w:t>
      </w:r>
      <w:r w:rsidRPr="00C63E5F">
        <w:rPr>
          <w:rFonts w:hint="eastAsia"/>
          <w:sz w:val="28"/>
          <w:szCs w:val="28"/>
        </w:rPr>
        <w:t>年</w:t>
      </w:r>
      <w:r>
        <w:rPr>
          <w:sz w:val="28"/>
          <w:szCs w:val="28"/>
        </w:rPr>
        <w:t xml:space="preserve"> </w:t>
      </w:r>
      <w:r w:rsidRPr="00C63E5F">
        <w:rPr>
          <w:sz w:val="28"/>
          <w:szCs w:val="28"/>
        </w:rPr>
        <w:t xml:space="preserve">  </w:t>
      </w:r>
      <w:r w:rsidRPr="00C63E5F">
        <w:rPr>
          <w:rFonts w:hint="eastAsia"/>
          <w:sz w:val="28"/>
          <w:szCs w:val="28"/>
        </w:rPr>
        <w:t>月</w:t>
      </w:r>
      <w:r>
        <w:rPr>
          <w:sz w:val="28"/>
          <w:szCs w:val="28"/>
        </w:rPr>
        <w:t xml:space="preserve"> </w:t>
      </w:r>
      <w:r w:rsidRPr="00C63E5F">
        <w:rPr>
          <w:sz w:val="28"/>
          <w:szCs w:val="28"/>
        </w:rPr>
        <w:t xml:space="preserve">  </w:t>
      </w:r>
      <w:r w:rsidRPr="00C63E5F">
        <w:rPr>
          <w:rFonts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0"/>
        <w:gridCol w:w="1421"/>
        <w:gridCol w:w="1421"/>
        <w:gridCol w:w="1420"/>
        <w:gridCol w:w="1420"/>
        <w:gridCol w:w="1420"/>
      </w:tblGrid>
      <w:tr w:rsidR="00CD3D4A" w:rsidRPr="0034474D">
        <w:trPr>
          <w:trHeight w:val="623"/>
          <w:jc w:val="center"/>
        </w:trPr>
        <w:tc>
          <w:tcPr>
            <w:tcW w:w="5000" w:type="pct"/>
            <w:gridSpan w:val="6"/>
            <w:vAlign w:val="center"/>
          </w:tcPr>
          <w:p w:rsidR="00CD3D4A" w:rsidRPr="0034474D" w:rsidRDefault="00CD3D4A" w:rsidP="0034474D">
            <w:pPr>
              <w:jc w:val="center"/>
              <w:rPr>
                <w:rFonts w:cs="Times New Roman"/>
                <w:sz w:val="24"/>
                <w:szCs w:val="24"/>
              </w:rPr>
            </w:pPr>
            <w:r w:rsidRPr="0034474D">
              <w:rPr>
                <w:rFonts w:hint="eastAsia"/>
                <w:sz w:val="24"/>
                <w:szCs w:val="24"/>
              </w:rPr>
              <w:t>开课教师基本情况</w:t>
            </w:r>
          </w:p>
        </w:tc>
      </w:tr>
      <w:tr w:rsidR="00CD3D4A" w:rsidRPr="0034474D">
        <w:trPr>
          <w:trHeight w:val="606"/>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姓名</w:t>
            </w:r>
          </w:p>
        </w:tc>
        <w:tc>
          <w:tcPr>
            <w:tcW w:w="834" w:type="pct"/>
            <w:vAlign w:val="center"/>
          </w:tcPr>
          <w:p w:rsidR="00CD3D4A" w:rsidRPr="0034474D" w:rsidRDefault="00CD3D4A" w:rsidP="0034474D">
            <w:pPr>
              <w:jc w:val="center"/>
              <w:rPr>
                <w:rFonts w:cs="Times New Roman"/>
                <w:sz w:val="24"/>
                <w:szCs w:val="24"/>
              </w:rPr>
            </w:pPr>
          </w:p>
        </w:tc>
        <w:tc>
          <w:tcPr>
            <w:tcW w:w="834" w:type="pct"/>
            <w:vAlign w:val="center"/>
          </w:tcPr>
          <w:p w:rsidR="00CD3D4A" w:rsidRPr="0034474D" w:rsidRDefault="00CD3D4A" w:rsidP="0034474D">
            <w:pPr>
              <w:jc w:val="center"/>
              <w:rPr>
                <w:rFonts w:cs="Times New Roman"/>
                <w:sz w:val="24"/>
                <w:szCs w:val="24"/>
              </w:rPr>
            </w:pPr>
            <w:r w:rsidRPr="0034474D">
              <w:rPr>
                <w:rFonts w:hint="eastAsia"/>
                <w:sz w:val="24"/>
                <w:szCs w:val="24"/>
              </w:rPr>
              <w:t>性别</w:t>
            </w:r>
          </w:p>
        </w:tc>
        <w:tc>
          <w:tcPr>
            <w:tcW w:w="833" w:type="pct"/>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系</w:t>
            </w:r>
            <w:r w:rsidRPr="0034474D">
              <w:rPr>
                <w:sz w:val="24"/>
                <w:szCs w:val="24"/>
              </w:rPr>
              <w:t>/</w:t>
            </w:r>
            <w:r w:rsidRPr="0034474D">
              <w:rPr>
                <w:rFonts w:hint="eastAsia"/>
                <w:sz w:val="24"/>
                <w:szCs w:val="24"/>
              </w:rPr>
              <w:t>课程组</w:t>
            </w:r>
          </w:p>
        </w:tc>
        <w:tc>
          <w:tcPr>
            <w:tcW w:w="833" w:type="pct"/>
            <w:vAlign w:val="center"/>
          </w:tcPr>
          <w:p w:rsidR="00CD3D4A" w:rsidRPr="0034474D" w:rsidRDefault="00CD3D4A" w:rsidP="0034474D">
            <w:pPr>
              <w:jc w:val="center"/>
              <w:rPr>
                <w:rFonts w:cs="Times New Roman"/>
                <w:sz w:val="24"/>
                <w:szCs w:val="24"/>
              </w:rPr>
            </w:pPr>
          </w:p>
        </w:tc>
      </w:tr>
      <w:tr w:rsidR="00CD3D4A" w:rsidRPr="0034474D">
        <w:trPr>
          <w:trHeight w:val="531"/>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学历</w:t>
            </w:r>
          </w:p>
        </w:tc>
        <w:tc>
          <w:tcPr>
            <w:tcW w:w="834" w:type="pct"/>
            <w:vAlign w:val="center"/>
          </w:tcPr>
          <w:p w:rsidR="00CD3D4A" w:rsidRPr="0034474D" w:rsidRDefault="00CD3D4A" w:rsidP="0034474D">
            <w:pPr>
              <w:jc w:val="center"/>
              <w:rPr>
                <w:rFonts w:cs="Times New Roman"/>
                <w:sz w:val="24"/>
                <w:szCs w:val="24"/>
              </w:rPr>
            </w:pPr>
          </w:p>
        </w:tc>
        <w:tc>
          <w:tcPr>
            <w:tcW w:w="834" w:type="pct"/>
            <w:vAlign w:val="center"/>
          </w:tcPr>
          <w:p w:rsidR="00CD3D4A" w:rsidRPr="0034474D" w:rsidRDefault="00CD3D4A" w:rsidP="0034474D">
            <w:pPr>
              <w:jc w:val="center"/>
              <w:rPr>
                <w:rFonts w:cs="Times New Roman"/>
                <w:sz w:val="24"/>
                <w:szCs w:val="24"/>
              </w:rPr>
            </w:pPr>
            <w:r w:rsidRPr="0034474D">
              <w:rPr>
                <w:rFonts w:hint="eastAsia"/>
                <w:sz w:val="24"/>
                <w:szCs w:val="24"/>
              </w:rPr>
              <w:t>毕业院校</w:t>
            </w:r>
          </w:p>
        </w:tc>
        <w:tc>
          <w:tcPr>
            <w:tcW w:w="833" w:type="pct"/>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专业</w:t>
            </w:r>
          </w:p>
        </w:tc>
        <w:tc>
          <w:tcPr>
            <w:tcW w:w="833" w:type="pct"/>
            <w:vAlign w:val="center"/>
          </w:tcPr>
          <w:p w:rsidR="00CD3D4A" w:rsidRPr="0034474D" w:rsidRDefault="00CD3D4A" w:rsidP="0034474D">
            <w:pPr>
              <w:jc w:val="center"/>
              <w:rPr>
                <w:rFonts w:cs="Times New Roman"/>
                <w:sz w:val="24"/>
                <w:szCs w:val="24"/>
              </w:rPr>
            </w:pPr>
          </w:p>
        </w:tc>
      </w:tr>
      <w:tr w:rsidR="00CD3D4A" w:rsidRPr="0034474D">
        <w:trPr>
          <w:trHeight w:val="611"/>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学位</w:t>
            </w:r>
          </w:p>
        </w:tc>
        <w:tc>
          <w:tcPr>
            <w:tcW w:w="834" w:type="pct"/>
            <w:vAlign w:val="center"/>
          </w:tcPr>
          <w:p w:rsidR="00CD3D4A" w:rsidRPr="0034474D" w:rsidRDefault="00CD3D4A" w:rsidP="0034474D">
            <w:pPr>
              <w:jc w:val="center"/>
              <w:rPr>
                <w:rFonts w:cs="Times New Roman"/>
                <w:sz w:val="24"/>
                <w:szCs w:val="24"/>
              </w:rPr>
            </w:pPr>
          </w:p>
        </w:tc>
        <w:tc>
          <w:tcPr>
            <w:tcW w:w="834" w:type="pct"/>
            <w:vAlign w:val="center"/>
          </w:tcPr>
          <w:p w:rsidR="00CD3D4A" w:rsidRPr="0034474D" w:rsidRDefault="00CD3D4A" w:rsidP="0034474D">
            <w:pPr>
              <w:jc w:val="center"/>
              <w:rPr>
                <w:rFonts w:cs="Times New Roman"/>
                <w:sz w:val="18"/>
                <w:szCs w:val="18"/>
              </w:rPr>
            </w:pPr>
            <w:r w:rsidRPr="0034474D">
              <w:rPr>
                <w:rFonts w:hint="eastAsia"/>
                <w:sz w:val="18"/>
                <w:szCs w:val="18"/>
              </w:rPr>
              <w:t>学位授予院校</w:t>
            </w:r>
          </w:p>
        </w:tc>
        <w:tc>
          <w:tcPr>
            <w:tcW w:w="833" w:type="pct"/>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专业</w:t>
            </w:r>
          </w:p>
        </w:tc>
        <w:tc>
          <w:tcPr>
            <w:tcW w:w="833" w:type="pct"/>
            <w:vAlign w:val="center"/>
          </w:tcPr>
          <w:p w:rsidR="00CD3D4A" w:rsidRPr="0034474D" w:rsidRDefault="00CD3D4A" w:rsidP="0034474D">
            <w:pPr>
              <w:jc w:val="center"/>
              <w:rPr>
                <w:rFonts w:cs="Times New Roman"/>
                <w:sz w:val="24"/>
                <w:szCs w:val="24"/>
              </w:rPr>
            </w:pPr>
          </w:p>
        </w:tc>
      </w:tr>
      <w:tr w:rsidR="00CD3D4A" w:rsidRPr="0034474D">
        <w:trPr>
          <w:trHeight w:val="623"/>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职称</w:t>
            </w:r>
          </w:p>
        </w:tc>
        <w:tc>
          <w:tcPr>
            <w:tcW w:w="834" w:type="pct"/>
            <w:vAlign w:val="center"/>
          </w:tcPr>
          <w:p w:rsidR="00CD3D4A" w:rsidRPr="0034474D" w:rsidRDefault="00CD3D4A" w:rsidP="0034474D">
            <w:pPr>
              <w:jc w:val="center"/>
              <w:rPr>
                <w:rFonts w:cs="Times New Roman"/>
                <w:sz w:val="24"/>
                <w:szCs w:val="24"/>
              </w:rPr>
            </w:pPr>
          </w:p>
        </w:tc>
        <w:tc>
          <w:tcPr>
            <w:tcW w:w="834" w:type="pct"/>
            <w:vAlign w:val="center"/>
          </w:tcPr>
          <w:p w:rsidR="00CD3D4A" w:rsidRPr="0034474D" w:rsidRDefault="00CD3D4A" w:rsidP="0034474D">
            <w:pPr>
              <w:jc w:val="center"/>
              <w:rPr>
                <w:rFonts w:cs="Times New Roman"/>
                <w:sz w:val="24"/>
                <w:szCs w:val="24"/>
              </w:rPr>
            </w:pPr>
            <w:r w:rsidRPr="0034474D">
              <w:rPr>
                <w:rFonts w:hint="eastAsia"/>
                <w:sz w:val="24"/>
                <w:szCs w:val="24"/>
              </w:rPr>
              <w:t>电话</w:t>
            </w:r>
          </w:p>
        </w:tc>
        <w:tc>
          <w:tcPr>
            <w:tcW w:w="833" w:type="pct"/>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邮箱</w:t>
            </w:r>
          </w:p>
        </w:tc>
        <w:tc>
          <w:tcPr>
            <w:tcW w:w="833" w:type="pct"/>
            <w:vAlign w:val="center"/>
          </w:tcPr>
          <w:p w:rsidR="00CD3D4A" w:rsidRPr="0034474D" w:rsidRDefault="00CD3D4A" w:rsidP="0034474D">
            <w:pPr>
              <w:jc w:val="center"/>
              <w:rPr>
                <w:rFonts w:cs="Times New Roman"/>
                <w:sz w:val="24"/>
                <w:szCs w:val="24"/>
              </w:rPr>
            </w:pPr>
          </w:p>
        </w:tc>
      </w:tr>
      <w:tr w:rsidR="00CD3D4A" w:rsidRPr="0034474D">
        <w:trPr>
          <w:trHeight w:val="1890"/>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教学经历及主要承担课程</w:t>
            </w:r>
          </w:p>
        </w:tc>
        <w:tc>
          <w:tcPr>
            <w:tcW w:w="4167" w:type="pct"/>
            <w:gridSpan w:val="5"/>
            <w:vAlign w:val="center"/>
          </w:tcPr>
          <w:p w:rsidR="00CD3D4A" w:rsidRPr="0034474D" w:rsidRDefault="00CD3D4A" w:rsidP="0034474D">
            <w:pPr>
              <w:jc w:val="center"/>
              <w:rPr>
                <w:rFonts w:cs="Times New Roman"/>
                <w:sz w:val="24"/>
                <w:szCs w:val="24"/>
              </w:rPr>
            </w:pPr>
          </w:p>
        </w:tc>
      </w:tr>
      <w:tr w:rsidR="00CD3D4A" w:rsidRPr="0034474D">
        <w:trPr>
          <w:trHeight w:val="556"/>
          <w:jc w:val="center"/>
        </w:trPr>
        <w:tc>
          <w:tcPr>
            <w:tcW w:w="5000" w:type="pct"/>
            <w:gridSpan w:val="6"/>
            <w:vAlign w:val="center"/>
          </w:tcPr>
          <w:p w:rsidR="00CD3D4A" w:rsidRPr="0034474D" w:rsidRDefault="00CD3D4A" w:rsidP="0034474D">
            <w:pPr>
              <w:jc w:val="center"/>
              <w:rPr>
                <w:rFonts w:cs="Times New Roman"/>
                <w:sz w:val="24"/>
                <w:szCs w:val="24"/>
              </w:rPr>
            </w:pPr>
            <w:r w:rsidRPr="0034474D">
              <w:rPr>
                <w:rFonts w:hint="eastAsia"/>
                <w:sz w:val="24"/>
                <w:szCs w:val="24"/>
              </w:rPr>
              <w:t>拟开课程基本信息</w:t>
            </w:r>
          </w:p>
        </w:tc>
      </w:tr>
      <w:tr w:rsidR="00CD3D4A" w:rsidRPr="0034474D">
        <w:trPr>
          <w:trHeight w:val="494"/>
          <w:jc w:val="center"/>
        </w:trPr>
        <w:tc>
          <w:tcPr>
            <w:tcW w:w="833" w:type="pct"/>
            <w:vAlign w:val="center"/>
          </w:tcPr>
          <w:p w:rsidR="00CD3D4A" w:rsidRPr="0034474D" w:rsidRDefault="00CD3D4A" w:rsidP="0034474D">
            <w:pPr>
              <w:jc w:val="center"/>
              <w:rPr>
                <w:rFonts w:cs="Times New Roman"/>
                <w:sz w:val="24"/>
                <w:szCs w:val="24"/>
              </w:rPr>
            </w:pPr>
            <w:bookmarkStart w:id="0" w:name="_GoBack" w:colFirst="3" w:colLast="3"/>
            <w:r w:rsidRPr="0034474D">
              <w:rPr>
                <w:rFonts w:hint="eastAsia"/>
                <w:sz w:val="24"/>
                <w:szCs w:val="24"/>
              </w:rPr>
              <w:t>中文名称</w:t>
            </w:r>
          </w:p>
        </w:tc>
        <w:tc>
          <w:tcPr>
            <w:tcW w:w="1668" w:type="pct"/>
            <w:gridSpan w:val="2"/>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英文名称</w:t>
            </w:r>
          </w:p>
        </w:tc>
        <w:tc>
          <w:tcPr>
            <w:tcW w:w="1666" w:type="pct"/>
            <w:gridSpan w:val="2"/>
            <w:vAlign w:val="center"/>
          </w:tcPr>
          <w:p w:rsidR="00CD3D4A" w:rsidRPr="0034474D" w:rsidRDefault="00CD3D4A" w:rsidP="0034474D">
            <w:pPr>
              <w:jc w:val="center"/>
              <w:rPr>
                <w:rFonts w:cs="Times New Roman"/>
                <w:sz w:val="24"/>
                <w:szCs w:val="24"/>
              </w:rPr>
            </w:pPr>
          </w:p>
        </w:tc>
      </w:tr>
      <w:bookmarkEnd w:id="0"/>
      <w:tr w:rsidR="00CD3D4A" w:rsidRPr="0034474D">
        <w:trPr>
          <w:trHeight w:val="135"/>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学分</w:t>
            </w:r>
          </w:p>
        </w:tc>
        <w:tc>
          <w:tcPr>
            <w:tcW w:w="1668" w:type="pct"/>
            <w:gridSpan w:val="2"/>
            <w:vAlign w:val="center"/>
          </w:tcPr>
          <w:p w:rsidR="00CD3D4A" w:rsidRPr="0034474D" w:rsidRDefault="00CD3D4A" w:rsidP="0034474D">
            <w:pPr>
              <w:jc w:val="center"/>
              <w:rPr>
                <w:rFonts w:cs="Times New Roman"/>
                <w:sz w:val="24"/>
                <w:szCs w:val="24"/>
              </w:rPr>
            </w:pPr>
          </w:p>
        </w:tc>
        <w:tc>
          <w:tcPr>
            <w:tcW w:w="833" w:type="pct"/>
            <w:vAlign w:val="center"/>
          </w:tcPr>
          <w:p w:rsidR="00CD3D4A" w:rsidRPr="0034474D" w:rsidRDefault="00CD3D4A" w:rsidP="0034474D">
            <w:pPr>
              <w:jc w:val="center"/>
              <w:rPr>
                <w:rFonts w:cs="Times New Roman"/>
              </w:rPr>
            </w:pPr>
            <w:r w:rsidRPr="0034474D">
              <w:rPr>
                <w:rFonts w:hint="eastAsia"/>
                <w:sz w:val="24"/>
                <w:szCs w:val="24"/>
              </w:rPr>
              <w:t>学时</w:t>
            </w:r>
          </w:p>
        </w:tc>
        <w:tc>
          <w:tcPr>
            <w:tcW w:w="1666" w:type="pct"/>
            <w:gridSpan w:val="2"/>
            <w:vAlign w:val="center"/>
          </w:tcPr>
          <w:p w:rsidR="00CD3D4A" w:rsidRPr="0034474D" w:rsidRDefault="00CD3D4A" w:rsidP="0034474D">
            <w:pPr>
              <w:jc w:val="center"/>
              <w:rPr>
                <w:rFonts w:cs="Times New Roman"/>
                <w:sz w:val="24"/>
                <w:szCs w:val="24"/>
              </w:rPr>
            </w:pPr>
          </w:p>
        </w:tc>
      </w:tr>
      <w:tr w:rsidR="00CD3D4A" w:rsidRPr="0034474D">
        <w:trPr>
          <w:trHeight w:val="1775"/>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课程类别</w:t>
            </w:r>
          </w:p>
        </w:tc>
        <w:tc>
          <w:tcPr>
            <w:tcW w:w="4167" w:type="pct"/>
            <w:gridSpan w:val="5"/>
            <w:vAlign w:val="center"/>
          </w:tcPr>
          <w:p w:rsidR="00CD3D4A" w:rsidRPr="0034474D" w:rsidRDefault="00CD3D4A" w:rsidP="0034474D">
            <w:pPr>
              <w:jc w:val="center"/>
              <w:rPr>
                <w:rFonts w:cs="Times New Roman"/>
                <w:sz w:val="24"/>
                <w:szCs w:val="24"/>
              </w:rPr>
            </w:pPr>
            <w:r w:rsidRPr="0034474D">
              <w:rPr>
                <w:rFonts w:hint="eastAsia"/>
                <w:sz w:val="24"/>
                <w:szCs w:val="24"/>
              </w:rPr>
              <w:t>（</w:t>
            </w:r>
            <w:r w:rsidRPr="0034474D">
              <w:rPr>
                <w:sz w:val="24"/>
                <w:szCs w:val="24"/>
              </w:rPr>
              <w:t xml:space="preserve">    </w:t>
            </w:r>
            <w:r w:rsidRPr="0034474D">
              <w:rPr>
                <w:rFonts w:hint="eastAsia"/>
                <w:sz w:val="24"/>
                <w:szCs w:val="24"/>
              </w:rPr>
              <w:t>）经济管理与数学思维（</w:t>
            </w:r>
            <w:r w:rsidRPr="0034474D">
              <w:rPr>
                <w:sz w:val="24"/>
                <w:szCs w:val="24"/>
              </w:rPr>
              <w:t xml:space="preserve">    </w:t>
            </w:r>
            <w:r w:rsidRPr="0034474D">
              <w:rPr>
                <w:rFonts w:hint="eastAsia"/>
                <w:sz w:val="24"/>
                <w:szCs w:val="24"/>
              </w:rPr>
              <w:t>）世界文化与语言表达</w:t>
            </w:r>
          </w:p>
          <w:p w:rsidR="00CD3D4A" w:rsidRPr="0034474D" w:rsidRDefault="00CD3D4A" w:rsidP="0034474D">
            <w:pPr>
              <w:jc w:val="center"/>
              <w:rPr>
                <w:rFonts w:cs="Times New Roman"/>
                <w:sz w:val="24"/>
                <w:szCs w:val="24"/>
              </w:rPr>
            </w:pPr>
            <w:r w:rsidRPr="0034474D">
              <w:rPr>
                <w:rFonts w:hint="eastAsia"/>
                <w:sz w:val="24"/>
                <w:szCs w:val="24"/>
              </w:rPr>
              <w:t>（</w:t>
            </w:r>
            <w:r w:rsidRPr="0034474D">
              <w:rPr>
                <w:sz w:val="24"/>
                <w:szCs w:val="24"/>
              </w:rPr>
              <w:t xml:space="preserve">    </w:t>
            </w:r>
            <w:r w:rsidRPr="0034474D">
              <w:rPr>
                <w:rFonts w:hint="eastAsia"/>
                <w:sz w:val="24"/>
                <w:szCs w:val="24"/>
              </w:rPr>
              <w:t>）历史传统与哲学思辨（</w:t>
            </w:r>
            <w:r w:rsidRPr="0034474D">
              <w:rPr>
                <w:sz w:val="24"/>
                <w:szCs w:val="24"/>
              </w:rPr>
              <w:t xml:space="preserve">    </w:t>
            </w:r>
            <w:r w:rsidRPr="0034474D">
              <w:rPr>
                <w:rFonts w:hint="eastAsia"/>
                <w:sz w:val="24"/>
                <w:szCs w:val="24"/>
              </w:rPr>
              <w:t>）社会分析与公民素养</w:t>
            </w:r>
          </w:p>
          <w:p w:rsidR="00CD3D4A" w:rsidRPr="0034474D" w:rsidRDefault="00CD3D4A" w:rsidP="0034474D">
            <w:pPr>
              <w:jc w:val="center"/>
              <w:rPr>
                <w:rFonts w:cs="Times New Roman"/>
                <w:sz w:val="24"/>
                <w:szCs w:val="24"/>
              </w:rPr>
            </w:pPr>
            <w:r w:rsidRPr="0034474D">
              <w:rPr>
                <w:rFonts w:hint="eastAsia"/>
                <w:sz w:val="24"/>
                <w:szCs w:val="24"/>
              </w:rPr>
              <w:t>（</w:t>
            </w:r>
            <w:r w:rsidRPr="0034474D">
              <w:rPr>
                <w:sz w:val="24"/>
                <w:szCs w:val="24"/>
              </w:rPr>
              <w:t xml:space="preserve">  </w:t>
            </w:r>
            <w:r w:rsidRPr="0034474D">
              <w:rPr>
                <w:rFonts w:hint="eastAsia"/>
                <w:sz w:val="24"/>
                <w:szCs w:val="24"/>
              </w:rPr>
              <w:t>）艺术修养与运动健康（</w:t>
            </w:r>
            <w:r w:rsidRPr="0034474D">
              <w:rPr>
                <w:sz w:val="24"/>
                <w:szCs w:val="24"/>
              </w:rPr>
              <w:t xml:space="preserve">  </w:t>
            </w:r>
            <w:r w:rsidRPr="0034474D">
              <w:rPr>
                <w:rFonts w:hint="eastAsia"/>
                <w:sz w:val="24"/>
                <w:szCs w:val="24"/>
              </w:rPr>
              <w:t>）自然科学与互联网创新创业</w:t>
            </w:r>
          </w:p>
        </w:tc>
      </w:tr>
      <w:tr w:rsidR="00CD3D4A" w:rsidRPr="0034474D">
        <w:trPr>
          <w:trHeight w:val="1246"/>
          <w:jc w:val="center"/>
        </w:trPr>
        <w:tc>
          <w:tcPr>
            <w:tcW w:w="833" w:type="pct"/>
            <w:vAlign w:val="center"/>
          </w:tcPr>
          <w:p w:rsidR="00CD3D4A" w:rsidRPr="0034474D" w:rsidRDefault="00CD3D4A" w:rsidP="0034474D">
            <w:pPr>
              <w:jc w:val="center"/>
              <w:rPr>
                <w:rFonts w:cs="Times New Roman"/>
                <w:sz w:val="24"/>
                <w:szCs w:val="24"/>
              </w:rPr>
            </w:pPr>
            <w:r w:rsidRPr="0034474D">
              <w:rPr>
                <w:rFonts w:hint="eastAsia"/>
                <w:sz w:val="24"/>
                <w:szCs w:val="24"/>
              </w:rPr>
              <w:t>课程主要章节、内容</w:t>
            </w:r>
          </w:p>
        </w:tc>
        <w:tc>
          <w:tcPr>
            <w:tcW w:w="4167" w:type="pct"/>
            <w:gridSpan w:val="5"/>
            <w:vAlign w:val="center"/>
          </w:tcPr>
          <w:p w:rsidR="00CD3D4A" w:rsidRPr="0034474D" w:rsidRDefault="00CD3D4A" w:rsidP="0034474D">
            <w:pPr>
              <w:jc w:val="center"/>
              <w:rPr>
                <w:rFonts w:cs="Times New Roman"/>
                <w:sz w:val="24"/>
                <w:szCs w:val="24"/>
              </w:rPr>
            </w:pPr>
          </w:p>
          <w:p w:rsidR="00CD3D4A" w:rsidRPr="0034474D" w:rsidRDefault="00CD3D4A" w:rsidP="0034474D">
            <w:pPr>
              <w:jc w:val="center"/>
              <w:rPr>
                <w:rFonts w:cs="Times New Roman"/>
                <w:sz w:val="24"/>
                <w:szCs w:val="24"/>
              </w:rPr>
            </w:pPr>
          </w:p>
          <w:p w:rsidR="00CD3D4A" w:rsidRPr="0034474D" w:rsidRDefault="00CD3D4A" w:rsidP="0034474D">
            <w:pPr>
              <w:jc w:val="center"/>
              <w:rPr>
                <w:rFonts w:cs="Times New Roman"/>
                <w:sz w:val="24"/>
                <w:szCs w:val="24"/>
              </w:rPr>
            </w:pPr>
          </w:p>
          <w:p w:rsidR="00CD3D4A" w:rsidRPr="0034474D" w:rsidRDefault="00CD3D4A" w:rsidP="0034474D">
            <w:pPr>
              <w:jc w:val="center"/>
              <w:rPr>
                <w:rFonts w:cs="Times New Roman"/>
                <w:sz w:val="24"/>
                <w:szCs w:val="24"/>
              </w:rPr>
            </w:pPr>
          </w:p>
          <w:p w:rsidR="00CD3D4A" w:rsidRPr="0034474D" w:rsidRDefault="00CD3D4A" w:rsidP="0034474D">
            <w:pPr>
              <w:jc w:val="center"/>
              <w:rPr>
                <w:rFonts w:cs="Times New Roman"/>
                <w:sz w:val="24"/>
                <w:szCs w:val="24"/>
              </w:rPr>
            </w:pPr>
          </w:p>
        </w:tc>
      </w:tr>
    </w:tbl>
    <w:p w:rsidR="00CD3D4A" w:rsidRPr="003875A0" w:rsidRDefault="00CD3D4A" w:rsidP="003875A0">
      <w:pPr>
        <w:rPr>
          <w:rFonts w:cs="Times New Roman"/>
          <w:sz w:val="28"/>
          <w:szCs w:val="28"/>
        </w:rPr>
      </w:pPr>
    </w:p>
    <w:sectPr w:rsidR="00CD3D4A" w:rsidRPr="003875A0" w:rsidSect="000C71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5A0"/>
    <w:rsid w:val="000C013D"/>
    <w:rsid w:val="000C7182"/>
    <w:rsid w:val="0034474D"/>
    <w:rsid w:val="003875A0"/>
    <w:rsid w:val="008340EB"/>
    <w:rsid w:val="00C303C6"/>
    <w:rsid w:val="00C63E5F"/>
    <w:rsid w:val="00CD3D4A"/>
    <w:rsid w:val="00EF1D96"/>
    <w:rsid w:val="00F609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82"/>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3875A0"/>
    <w:pPr>
      <w:ind w:leftChars="2500" w:left="100"/>
    </w:pPr>
  </w:style>
  <w:style w:type="character" w:customStyle="1" w:styleId="DateChar">
    <w:name w:val="Date Char"/>
    <w:basedOn w:val="DefaultParagraphFont"/>
    <w:link w:val="Date"/>
    <w:uiPriority w:val="99"/>
    <w:semiHidden/>
    <w:locked/>
    <w:rsid w:val="003875A0"/>
  </w:style>
  <w:style w:type="table" w:styleId="TableGrid">
    <w:name w:val="Table Grid"/>
    <w:basedOn w:val="TableNormal"/>
    <w:uiPriority w:val="99"/>
    <w:rsid w:val="003875A0"/>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180</Words>
  <Characters>1031</Characters>
  <Application>Microsoft Office Outlook</Application>
  <DocSecurity>0</DocSecurity>
  <Lines>0</Lines>
  <Paragraphs>0</Paragraphs>
  <ScaleCrop>false</ScaleCrop>
  <Company>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钱毅</cp:lastModifiedBy>
  <cp:revision>2</cp:revision>
  <dcterms:created xsi:type="dcterms:W3CDTF">2019-07-12T00:00:00Z</dcterms:created>
  <dcterms:modified xsi:type="dcterms:W3CDTF">2019-07-12T02:32:00Z</dcterms:modified>
</cp:coreProperties>
</file>