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sz w:val="44"/>
          <w:szCs w:val="44"/>
        </w:rPr>
      </w:pPr>
      <w:r>
        <w:rPr>
          <w:rFonts w:hint="eastAsia" w:ascii="黑体" w:eastAsia="黑体"/>
          <w:b/>
          <w:sz w:val="44"/>
          <w:szCs w:val="44"/>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-1060450</wp:posOffset>
            </wp:positionV>
            <wp:extent cx="7651115" cy="10819130"/>
            <wp:effectExtent l="0" t="0" r="6985" b="1270"/>
            <wp:wrapNone/>
            <wp:docPr id="1" name="图片 3" descr="青春新叶集  活力共青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青春新叶集  活力共青团"/>
                    <pic:cNvPicPr>
                      <a:picLocks noChangeAspect="1"/>
                    </pic:cNvPicPr>
                  </pic:nvPicPr>
                  <pic:blipFill>
                    <a:blip r:embed="rId8">
                      <a:lum bright="12000"/>
                    </a:blip>
                    <a:srcRect l="124" t="-176" r="-124" b="176"/>
                    <a:stretch>
                      <a:fillRect/>
                    </a:stretch>
                  </pic:blipFill>
                  <pic:spPr>
                    <a:xfrm>
                      <a:off x="0" y="0"/>
                      <a:ext cx="7651115" cy="10819130"/>
                    </a:xfrm>
                    <a:prstGeom prst="rect">
                      <a:avLst/>
                    </a:prstGeom>
                    <a:noFill/>
                    <a:ln>
                      <a:noFill/>
                    </a:ln>
                  </pic:spPr>
                </pic:pic>
              </a:graphicData>
            </a:graphic>
          </wp:anchor>
        </w:drawing>
      </w:r>
    </w:p>
    <w:p>
      <w:pPr>
        <w:jc w:val="center"/>
        <w:rPr>
          <w:rFonts w:ascii="黑体" w:eastAsia="黑体"/>
          <w:b/>
          <w:sz w:val="44"/>
          <w:szCs w:val="44"/>
        </w:rPr>
      </w:pPr>
      <w:r>
        <w:rPr>
          <w:rFonts w:ascii="黑体" w:eastAsia="黑体"/>
          <w:b/>
          <w:sz w:val="44"/>
          <w:szCs w:val="44"/>
        </w:rPr>
        <w:pict>
          <v:shape id="_x0000_s2050" o:spid="_x0000_s2050" o:spt="75" type="#_x0000_t75" style="position:absolute;left:0pt;margin-left:34.75pt;margin-top:22.5pt;height:61.5pt;width:361.5pt;z-index:251659264;mso-width-relative:page;mso-height-relative:page;" o:ole="t" filled="f" o:preferrelative="t" stroked="f" coordsize="21600,21600">
            <v:path/>
            <v:fill on="f" focussize="0,0"/>
            <v:stroke on="f" joinstyle="miter"/>
            <v:imagedata r:id="rId10" o:title=""/>
            <o:lock v:ext="edit" aspectratio="t"/>
          </v:shape>
          <o:OLEObject Type="Embed" ProgID="" ShapeID="_x0000_s2050" DrawAspect="Content" ObjectID="_1468075725" r:id="rId9">
            <o:LockedField>false</o:LockedField>
          </o:OLEObject>
        </w:pict>
      </w:r>
    </w:p>
    <w:p>
      <w:pPr>
        <w:jc w:val="center"/>
        <w:rPr>
          <w:rFonts w:ascii="黑体" w:eastAsia="黑体"/>
          <w:b/>
          <w:sz w:val="44"/>
          <w:szCs w:val="44"/>
        </w:rPr>
      </w:pPr>
    </w:p>
    <w:p>
      <w:pPr>
        <w:jc w:val="center"/>
        <w:rPr>
          <w:rFonts w:ascii="黑体" w:eastAsia="黑体"/>
          <w:b/>
          <w:sz w:val="48"/>
          <w:szCs w:val="48"/>
        </w:rPr>
      </w:pPr>
    </w:p>
    <w:p>
      <w:pPr>
        <w:jc w:val="center"/>
        <w:rPr>
          <w:rFonts w:ascii="黑体" w:eastAsia="黑体"/>
          <w:b/>
          <w:sz w:val="48"/>
          <w:szCs w:val="48"/>
        </w:rPr>
      </w:pPr>
    </w:p>
    <w:p>
      <w:pPr>
        <w:jc w:val="center"/>
        <w:rPr>
          <w:rFonts w:ascii="黑体" w:eastAsia="黑体"/>
          <w:b/>
          <w:sz w:val="48"/>
          <w:szCs w:val="48"/>
        </w:rPr>
      </w:pPr>
    </w:p>
    <w:p>
      <w:pPr>
        <w:jc w:val="center"/>
        <w:rPr>
          <w:rFonts w:ascii="黑体" w:eastAsia="黑体"/>
          <w:b/>
          <w:sz w:val="48"/>
          <w:szCs w:val="48"/>
        </w:rPr>
      </w:pPr>
    </w:p>
    <w:p>
      <w:pPr>
        <w:jc w:val="center"/>
        <w:rPr>
          <w:rFonts w:ascii="黑体" w:eastAsia="黑体"/>
          <w:b/>
          <w:spacing w:val="20"/>
          <w:sz w:val="52"/>
          <w:szCs w:val="52"/>
        </w:rPr>
      </w:pPr>
      <w:r>
        <w:rPr>
          <w:rFonts w:hint="eastAsia" w:ascii="方正小标宋简体" w:hAnsi="方正小标宋简体" w:eastAsia="方正小标宋简体" w:cs="方正小标宋简体"/>
          <w:bCs/>
          <w:spacing w:val="20"/>
          <w:sz w:val="60"/>
          <w:szCs w:val="60"/>
        </w:rPr>
        <w:t>毕业生就业质量报告</w:t>
      </w:r>
    </w:p>
    <w:p>
      <w:pPr>
        <w:jc w:val="center"/>
        <w:rPr>
          <w:rFonts w:ascii="黑体" w:eastAsia="黑体"/>
          <w:b/>
          <w:sz w:val="44"/>
          <w:szCs w:val="44"/>
        </w:rPr>
      </w:pPr>
      <w:r>
        <w:rPr>
          <w:rFonts w:ascii="黑体" w:eastAsia="黑体"/>
          <w:b/>
          <w:sz w:val="44"/>
          <w:szCs w:val="44"/>
        </w:rPr>
        <w:t xml:space="preserve">  </w:t>
      </w:r>
      <w:r>
        <w:rPr>
          <w:rFonts w:hint="eastAsia" w:ascii="黑体" w:eastAsia="黑体"/>
          <w:b/>
          <w:sz w:val="44"/>
          <w:szCs w:val="44"/>
        </w:rPr>
        <w:t>（</w:t>
      </w:r>
      <w:r>
        <w:rPr>
          <w:rFonts w:ascii="黑体" w:eastAsia="黑体"/>
          <w:b/>
          <w:sz w:val="44"/>
          <w:szCs w:val="44"/>
        </w:rPr>
        <w:t>201</w:t>
      </w:r>
      <w:r>
        <w:rPr>
          <w:rFonts w:hint="eastAsia" w:ascii="黑体" w:eastAsia="黑体"/>
          <w:b/>
          <w:sz w:val="44"/>
          <w:szCs w:val="44"/>
        </w:rPr>
        <w:t>9年）</w:t>
      </w:r>
    </w:p>
    <w:p>
      <w:pPr>
        <w:rPr>
          <w:rFonts w:ascii="黑体" w:eastAsia="黑体"/>
          <w:b/>
          <w:sz w:val="44"/>
          <w:szCs w:val="44"/>
        </w:rPr>
      </w:pPr>
    </w:p>
    <w:p>
      <w:pPr>
        <w:rPr>
          <w:rFonts w:ascii="黑体" w:eastAsia="黑体"/>
          <w:b/>
          <w:sz w:val="44"/>
          <w:szCs w:val="44"/>
        </w:rPr>
      </w:pPr>
    </w:p>
    <w:p>
      <w:pPr>
        <w:rPr>
          <w:rFonts w:ascii="黑体" w:eastAsia="黑体"/>
          <w:b/>
          <w:sz w:val="44"/>
          <w:szCs w:val="44"/>
        </w:rPr>
      </w:pPr>
    </w:p>
    <w:p>
      <w:pPr>
        <w:rPr>
          <w:rFonts w:ascii="黑体" w:eastAsia="黑体"/>
          <w:b/>
          <w:sz w:val="44"/>
          <w:szCs w:val="44"/>
        </w:rPr>
      </w:pPr>
    </w:p>
    <w:p>
      <w:pPr>
        <w:rPr>
          <w:rFonts w:ascii="黑体" w:eastAsia="黑体"/>
          <w:b/>
          <w:sz w:val="44"/>
          <w:szCs w:val="44"/>
        </w:rPr>
      </w:pPr>
    </w:p>
    <w:p>
      <w:pPr>
        <w:rPr>
          <w:rFonts w:ascii="黑体" w:eastAsia="黑体"/>
          <w:b/>
          <w:sz w:val="44"/>
          <w:szCs w:val="44"/>
        </w:rPr>
      </w:pPr>
    </w:p>
    <w:p>
      <w:pPr>
        <w:rPr>
          <w:rFonts w:ascii="黑体" w:eastAsia="黑体"/>
          <w:b/>
          <w:sz w:val="44"/>
          <w:szCs w:val="44"/>
        </w:rPr>
      </w:pPr>
    </w:p>
    <w:p>
      <w:pPr>
        <w:rPr>
          <w:rFonts w:ascii="黑体" w:eastAsia="黑体"/>
          <w:b/>
          <w:sz w:val="44"/>
          <w:szCs w:val="44"/>
        </w:rPr>
      </w:pPr>
    </w:p>
    <w:p>
      <w:pPr>
        <w:rPr>
          <w:rFonts w:ascii="黑体" w:eastAsia="黑体"/>
          <w:b/>
          <w:sz w:val="24"/>
          <w:szCs w:val="24"/>
        </w:rPr>
      </w:pPr>
    </w:p>
    <w:p>
      <w:pPr>
        <w:rPr>
          <w:rFonts w:ascii="黑体" w:eastAsia="黑体"/>
          <w:b/>
          <w:sz w:val="44"/>
          <w:szCs w:val="44"/>
        </w:rPr>
      </w:pPr>
    </w:p>
    <w:p>
      <w:pPr>
        <w:jc w:val="center"/>
        <w:rPr>
          <w:rFonts w:ascii="黑体" w:eastAsia="黑体"/>
          <w:bCs/>
          <w:color w:val="000000"/>
          <w:sz w:val="44"/>
          <w:szCs w:val="44"/>
        </w:rPr>
      </w:pPr>
      <w:r>
        <w:rPr>
          <w:rFonts w:hint="eastAsia" w:ascii="黑体" w:eastAsia="黑体"/>
          <w:bCs/>
          <w:color w:val="000000"/>
          <w:sz w:val="36"/>
          <w:szCs w:val="36"/>
        </w:rPr>
        <w:t>二○一九年十二月</w:t>
      </w:r>
    </w:p>
    <w:p>
      <w:pPr>
        <w:ind w:firstLine="3264" w:firstLineChars="739"/>
        <w:rPr>
          <w:rFonts w:ascii="黑体" w:eastAsia="黑体"/>
          <w:b/>
          <w:sz w:val="44"/>
          <w:szCs w:val="44"/>
        </w:rPr>
      </w:pPr>
    </w:p>
    <w:p>
      <w:pPr>
        <w:rPr>
          <w:rFonts w:ascii="仿宋_GB2312" w:eastAsia="仿宋_GB2312"/>
          <w:sz w:val="28"/>
          <w:szCs w:val="28"/>
        </w:rPr>
        <w:sectPr>
          <w:pgSz w:w="11906" w:h="16838"/>
          <w:pgMar w:top="1701" w:right="1800" w:bottom="1440" w:left="1800" w:header="851" w:footer="992" w:gutter="0"/>
          <w:cols w:space="720" w:num="1"/>
          <w:docGrid w:type="lines" w:linePitch="312" w:charSpace="0"/>
        </w:sectPr>
      </w:pPr>
    </w:p>
    <w:p>
      <w:pPr>
        <w:jc w:val="center"/>
        <w:rPr>
          <w:rFonts w:ascii="Times New Roman" w:hAnsi="Times New Roman"/>
        </w:rPr>
      </w:pPr>
      <w:r>
        <w:rPr>
          <w:rFonts w:ascii="Times New Roman" w:hAnsi="Times New Roman" w:eastAsia="黑体"/>
          <w:b/>
          <w:color w:val="0070C0"/>
          <w:sz w:val="36"/>
          <w:szCs w:val="36"/>
        </w:rPr>
        <w:t>目   录</w:t>
      </w:r>
      <w:r>
        <w:rPr>
          <w:rFonts w:ascii="Times New Roman" w:hAnsi="Times New Roman" w:eastAsia="黑体"/>
          <w:b/>
          <w:color w:val="000000"/>
          <w:kern w:val="0"/>
          <w:sz w:val="28"/>
          <w:szCs w:val="28"/>
        </w:rPr>
        <w:fldChar w:fldCharType="begin"/>
      </w:r>
      <w:r>
        <w:rPr>
          <w:rFonts w:ascii="Times New Roman" w:hAnsi="Times New Roman" w:eastAsia="黑体"/>
          <w:b/>
          <w:color w:val="000000"/>
          <w:kern w:val="0"/>
          <w:sz w:val="28"/>
          <w:szCs w:val="28"/>
        </w:rPr>
        <w:instrText xml:space="preserve"> TOC \o "1-3" \h \z \u </w:instrText>
      </w:r>
      <w:r>
        <w:rPr>
          <w:rFonts w:ascii="Times New Roman" w:hAnsi="Times New Roman" w:eastAsia="黑体"/>
          <w:b/>
          <w:color w:val="000000"/>
          <w:kern w:val="0"/>
          <w:sz w:val="28"/>
          <w:szCs w:val="28"/>
        </w:rPr>
        <w:fldChar w:fldCharType="separate"/>
      </w:r>
    </w:p>
    <w:p>
      <w:pPr>
        <w:pStyle w:val="11"/>
        <w:tabs>
          <w:tab w:val="right" w:leader="dot" w:pos="8306"/>
        </w:tabs>
        <w:rPr>
          <w:rFonts w:ascii="Times New Roman" w:hAnsi="Times New Roman"/>
          <w:sz w:val="28"/>
          <w:szCs w:val="28"/>
        </w:rPr>
      </w:pPr>
      <w:r>
        <w:fldChar w:fldCharType="begin"/>
      </w:r>
      <w:r>
        <w:instrText xml:space="preserve"> HYPERLINK \l "_Toc21083" </w:instrText>
      </w:r>
      <w:r>
        <w:fldChar w:fldCharType="separate"/>
      </w:r>
      <w:r>
        <w:rPr>
          <w:rFonts w:ascii="Times New Roman" w:hAnsi="Times New Roman" w:eastAsia="黑体"/>
          <w:kern w:val="0"/>
          <w:sz w:val="28"/>
          <w:szCs w:val="28"/>
        </w:rPr>
        <w:t>前  言</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_Toc21083 </w:instrText>
      </w:r>
      <w:r>
        <w:rPr>
          <w:rFonts w:ascii="Times New Roman" w:hAnsi="Times New Roman"/>
          <w:sz w:val="28"/>
          <w:szCs w:val="28"/>
        </w:rPr>
        <w:fldChar w:fldCharType="separate"/>
      </w:r>
      <w:r>
        <w:rPr>
          <w:rFonts w:ascii="Times New Roman" w:hAnsi="Times New Roman"/>
          <w:sz w:val="28"/>
          <w:szCs w:val="28"/>
        </w:rPr>
        <w:t>1</w:t>
      </w:r>
      <w:r>
        <w:rPr>
          <w:rFonts w:ascii="Times New Roman" w:hAnsi="Times New Roman"/>
          <w:sz w:val="28"/>
          <w:szCs w:val="28"/>
        </w:rPr>
        <w:fldChar w:fldCharType="end"/>
      </w:r>
      <w:r>
        <w:rPr>
          <w:rFonts w:ascii="Times New Roman" w:hAnsi="Times New Roman"/>
          <w:sz w:val="28"/>
          <w:szCs w:val="28"/>
        </w:rPr>
        <w:fldChar w:fldCharType="end"/>
      </w:r>
    </w:p>
    <w:p>
      <w:pPr>
        <w:pStyle w:val="11"/>
        <w:tabs>
          <w:tab w:val="right" w:leader="dot" w:pos="8306"/>
        </w:tabs>
        <w:rPr>
          <w:rFonts w:ascii="Times New Roman" w:hAnsi="Times New Roman"/>
          <w:sz w:val="28"/>
          <w:szCs w:val="28"/>
        </w:rPr>
      </w:pPr>
      <w:r>
        <w:fldChar w:fldCharType="begin"/>
      </w:r>
      <w:r>
        <w:instrText xml:space="preserve"> HYPERLINK \l "_Toc2949" </w:instrText>
      </w:r>
      <w:r>
        <w:fldChar w:fldCharType="separate"/>
      </w:r>
      <w:r>
        <w:rPr>
          <w:rFonts w:ascii="Times New Roman" w:hAnsi="Times New Roman" w:eastAsia="黑体"/>
          <w:kern w:val="0"/>
          <w:sz w:val="28"/>
          <w:szCs w:val="28"/>
        </w:rPr>
        <w:t>第一部分  毕业生基本情况</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_Toc2949 </w:instrText>
      </w:r>
      <w:r>
        <w:rPr>
          <w:rFonts w:ascii="Times New Roman" w:hAnsi="Times New Roman"/>
          <w:sz w:val="28"/>
          <w:szCs w:val="28"/>
        </w:rPr>
        <w:fldChar w:fldCharType="separate"/>
      </w:r>
      <w:r>
        <w:rPr>
          <w:rFonts w:ascii="Times New Roman" w:hAnsi="Times New Roman"/>
          <w:sz w:val="28"/>
          <w:szCs w:val="28"/>
        </w:rPr>
        <w:t>3</w:t>
      </w:r>
      <w:r>
        <w:rPr>
          <w:rFonts w:ascii="Times New Roman" w:hAnsi="Times New Roman"/>
          <w:sz w:val="28"/>
          <w:szCs w:val="28"/>
        </w:rPr>
        <w:fldChar w:fldCharType="end"/>
      </w:r>
      <w:r>
        <w:rPr>
          <w:rFonts w:ascii="Times New Roman" w:hAnsi="Times New Roman"/>
          <w:sz w:val="28"/>
          <w:szCs w:val="28"/>
        </w:rPr>
        <w:fldChar w:fldCharType="end"/>
      </w:r>
    </w:p>
    <w:p>
      <w:pPr>
        <w:pStyle w:val="14"/>
        <w:tabs>
          <w:tab w:val="right" w:leader="dot" w:pos="8306"/>
        </w:tabs>
        <w:rPr>
          <w:rFonts w:ascii="Times New Roman" w:hAnsi="Times New Roman"/>
          <w:sz w:val="28"/>
          <w:szCs w:val="28"/>
        </w:rPr>
      </w:pPr>
      <w:r>
        <w:fldChar w:fldCharType="begin"/>
      </w:r>
      <w:r>
        <w:instrText xml:space="preserve"> HYPERLINK \l "_Toc19516" </w:instrText>
      </w:r>
      <w:r>
        <w:fldChar w:fldCharType="separate"/>
      </w:r>
      <w:r>
        <w:rPr>
          <w:rFonts w:ascii="Times New Roman" w:hAnsi="Times New Roman" w:eastAsia="仿宋_GB2312"/>
          <w:sz w:val="28"/>
          <w:szCs w:val="28"/>
        </w:rPr>
        <w:t>1.1 毕业生总体规模和结构</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_Toc19516 </w:instrText>
      </w:r>
      <w:r>
        <w:rPr>
          <w:rFonts w:ascii="Times New Roman" w:hAnsi="Times New Roman"/>
          <w:sz w:val="28"/>
          <w:szCs w:val="28"/>
        </w:rPr>
        <w:fldChar w:fldCharType="separate"/>
      </w:r>
      <w:r>
        <w:rPr>
          <w:rFonts w:ascii="Times New Roman" w:hAnsi="Times New Roman"/>
          <w:sz w:val="28"/>
          <w:szCs w:val="28"/>
        </w:rPr>
        <w:t>3</w:t>
      </w:r>
      <w:r>
        <w:rPr>
          <w:rFonts w:ascii="Times New Roman" w:hAnsi="Times New Roman"/>
          <w:sz w:val="28"/>
          <w:szCs w:val="28"/>
        </w:rPr>
        <w:fldChar w:fldCharType="end"/>
      </w:r>
      <w:r>
        <w:rPr>
          <w:rFonts w:ascii="Times New Roman" w:hAnsi="Times New Roman"/>
          <w:sz w:val="28"/>
          <w:szCs w:val="28"/>
        </w:rPr>
        <w:fldChar w:fldCharType="end"/>
      </w:r>
    </w:p>
    <w:p>
      <w:pPr>
        <w:pStyle w:val="7"/>
        <w:tabs>
          <w:tab w:val="right" w:leader="dot" w:pos="8306"/>
        </w:tabs>
        <w:rPr>
          <w:rFonts w:ascii="Times New Roman" w:hAnsi="Times New Roman"/>
          <w:sz w:val="28"/>
          <w:szCs w:val="28"/>
        </w:rPr>
      </w:pPr>
      <w:r>
        <w:fldChar w:fldCharType="begin"/>
      </w:r>
      <w:r>
        <w:instrText xml:space="preserve"> HYPERLINK \l "_Toc20903" </w:instrText>
      </w:r>
      <w:r>
        <w:fldChar w:fldCharType="separate"/>
      </w:r>
      <w:r>
        <w:rPr>
          <w:rFonts w:ascii="Times New Roman" w:hAnsi="Times New Roman" w:eastAsia="仿宋_GB2312"/>
          <w:sz w:val="28"/>
          <w:szCs w:val="28"/>
        </w:rPr>
        <w:t>1.1.1 毕业生性别比例</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_Toc20903 </w:instrText>
      </w:r>
      <w:r>
        <w:rPr>
          <w:rFonts w:ascii="Times New Roman" w:hAnsi="Times New Roman"/>
          <w:sz w:val="28"/>
          <w:szCs w:val="28"/>
        </w:rPr>
        <w:fldChar w:fldCharType="separate"/>
      </w:r>
      <w:r>
        <w:rPr>
          <w:rFonts w:ascii="Times New Roman" w:hAnsi="Times New Roman"/>
          <w:sz w:val="28"/>
          <w:szCs w:val="28"/>
        </w:rPr>
        <w:t>3</w:t>
      </w:r>
      <w:r>
        <w:rPr>
          <w:rFonts w:ascii="Times New Roman" w:hAnsi="Times New Roman"/>
          <w:sz w:val="28"/>
          <w:szCs w:val="28"/>
        </w:rPr>
        <w:fldChar w:fldCharType="end"/>
      </w:r>
      <w:r>
        <w:rPr>
          <w:rFonts w:ascii="Times New Roman" w:hAnsi="Times New Roman"/>
          <w:sz w:val="28"/>
          <w:szCs w:val="28"/>
        </w:rPr>
        <w:fldChar w:fldCharType="end"/>
      </w:r>
    </w:p>
    <w:p>
      <w:pPr>
        <w:pStyle w:val="7"/>
        <w:tabs>
          <w:tab w:val="right" w:leader="dot" w:pos="8306"/>
        </w:tabs>
        <w:rPr>
          <w:rFonts w:ascii="Times New Roman" w:hAnsi="Times New Roman"/>
          <w:sz w:val="28"/>
          <w:szCs w:val="28"/>
        </w:rPr>
      </w:pPr>
      <w:r>
        <w:fldChar w:fldCharType="begin"/>
      </w:r>
      <w:r>
        <w:instrText xml:space="preserve"> HYPERLINK \l "_Toc1574" </w:instrText>
      </w:r>
      <w:r>
        <w:fldChar w:fldCharType="separate"/>
      </w:r>
      <w:r>
        <w:rPr>
          <w:rFonts w:ascii="Times New Roman" w:hAnsi="Times New Roman" w:eastAsia="仿宋_GB2312"/>
          <w:sz w:val="28"/>
          <w:szCs w:val="28"/>
        </w:rPr>
        <w:t>1.1.2 毕业生民族分布</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_Toc1574 </w:instrText>
      </w:r>
      <w:r>
        <w:rPr>
          <w:rFonts w:ascii="Times New Roman" w:hAnsi="Times New Roman"/>
          <w:sz w:val="28"/>
          <w:szCs w:val="28"/>
        </w:rPr>
        <w:fldChar w:fldCharType="separate"/>
      </w:r>
      <w:r>
        <w:rPr>
          <w:rFonts w:ascii="Times New Roman" w:hAnsi="Times New Roman"/>
          <w:sz w:val="28"/>
          <w:szCs w:val="28"/>
        </w:rPr>
        <w:t>4</w:t>
      </w:r>
      <w:r>
        <w:rPr>
          <w:rFonts w:ascii="Times New Roman" w:hAnsi="Times New Roman"/>
          <w:sz w:val="28"/>
          <w:szCs w:val="28"/>
        </w:rPr>
        <w:fldChar w:fldCharType="end"/>
      </w:r>
      <w:r>
        <w:rPr>
          <w:rFonts w:ascii="Times New Roman" w:hAnsi="Times New Roman"/>
          <w:sz w:val="28"/>
          <w:szCs w:val="28"/>
        </w:rPr>
        <w:fldChar w:fldCharType="end"/>
      </w:r>
    </w:p>
    <w:p>
      <w:pPr>
        <w:pStyle w:val="7"/>
        <w:tabs>
          <w:tab w:val="right" w:leader="dot" w:pos="8306"/>
        </w:tabs>
        <w:rPr>
          <w:rFonts w:ascii="Times New Roman" w:hAnsi="Times New Roman"/>
          <w:sz w:val="28"/>
          <w:szCs w:val="28"/>
        </w:rPr>
      </w:pPr>
      <w:r>
        <w:fldChar w:fldCharType="begin"/>
      </w:r>
      <w:r>
        <w:instrText xml:space="preserve"> HYPERLINK \l "_Toc2074" </w:instrText>
      </w:r>
      <w:r>
        <w:fldChar w:fldCharType="separate"/>
      </w:r>
      <w:r>
        <w:rPr>
          <w:rFonts w:ascii="Times New Roman" w:hAnsi="Times New Roman" w:eastAsia="仿宋_GB2312"/>
          <w:sz w:val="28"/>
          <w:szCs w:val="28"/>
        </w:rPr>
        <w:t>1.1.3 毕业生生源地区分布</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_Toc2074 </w:instrText>
      </w:r>
      <w:r>
        <w:rPr>
          <w:rFonts w:ascii="Times New Roman" w:hAnsi="Times New Roman"/>
          <w:sz w:val="28"/>
          <w:szCs w:val="28"/>
        </w:rPr>
        <w:fldChar w:fldCharType="separate"/>
      </w:r>
      <w:r>
        <w:rPr>
          <w:rFonts w:ascii="Times New Roman" w:hAnsi="Times New Roman"/>
          <w:sz w:val="28"/>
          <w:szCs w:val="28"/>
        </w:rPr>
        <w:t>5</w:t>
      </w:r>
      <w:r>
        <w:rPr>
          <w:rFonts w:ascii="Times New Roman" w:hAnsi="Times New Roman"/>
          <w:sz w:val="28"/>
          <w:szCs w:val="28"/>
        </w:rPr>
        <w:fldChar w:fldCharType="end"/>
      </w:r>
      <w:r>
        <w:rPr>
          <w:rFonts w:ascii="Times New Roman" w:hAnsi="Times New Roman"/>
          <w:sz w:val="28"/>
          <w:szCs w:val="28"/>
        </w:rPr>
        <w:fldChar w:fldCharType="end"/>
      </w:r>
    </w:p>
    <w:p>
      <w:pPr>
        <w:pStyle w:val="7"/>
        <w:tabs>
          <w:tab w:val="right" w:leader="dot" w:pos="8306"/>
        </w:tabs>
        <w:rPr>
          <w:rFonts w:ascii="Times New Roman" w:hAnsi="Times New Roman"/>
          <w:sz w:val="28"/>
          <w:szCs w:val="28"/>
        </w:rPr>
      </w:pPr>
      <w:r>
        <w:fldChar w:fldCharType="begin"/>
      </w:r>
      <w:r>
        <w:instrText xml:space="preserve"> HYPERLINK \l "_Toc6873" </w:instrText>
      </w:r>
      <w:r>
        <w:fldChar w:fldCharType="separate"/>
      </w:r>
      <w:r>
        <w:rPr>
          <w:rFonts w:ascii="Times New Roman" w:hAnsi="Times New Roman" w:eastAsia="仿宋_GB2312"/>
          <w:sz w:val="28"/>
          <w:szCs w:val="28"/>
        </w:rPr>
        <w:t>1.1.4 毕业生学科专业结构</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_Toc6873 </w:instrText>
      </w:r>
      <w:r>
        <w:rPr>
          <w:rFonts w:ascii="Times New Roman" w:hAnsi="Times New Roman"/>
          <w:sz w:val="28"/>
          <w:szCs w:val="28"/>
        </w:rPr>
        <w:fldChar w:fldCharType="separate"/>
      </w:r>
      <w:r>
        <w:rPr>
          <w:rFonts w:ascii="Times New Roman" w:hAnsi="Times New Roman"/>
          <w:sz w:val="28"/>
          <w:szCs w:val="28"/>
        </w:rPr>
        <w:t>5</w:t>
      </w:r>
      <w:r>
        <w:rPr>
          <w:rFonts w:ascii="Times New Roman" w:hAnsi="Times New Roman"/>
          <w:sz w:val="28"/>
          <w:szCs w:val="28"/>
        </w:rPr>
        <w:fldChar w:fldCharType="end"/>
      </w:r>
      <w:r>
        <w:rPr>
          <w:rFonts w:ascii="Times New Roman" w:hAnsi="Times New Roman"/>
          <w:sz w:val="28"/>
          <w:szCs w:val="28"/>
        </w:rPr>
        <w:fldChar w:fldCharType="end"/>
      </w:r>
    </w:p>
    <w:p>
      <w:pPr>
        <w:pStyle w:val="11"/>
        <w:tabs>
          <w:tab w:val="right" w:leader="dot" w:pos="8306"/>
        </w:tabs>
        <w:rPr>
          <w:rFonts w:ascii="Times New Roman" w:hAnsi="Times New Roman"/>
          <w:sz w:val="28"/>
          <w:szCs w:val="28"/>
        </w:rPr>
      </w:pPr>
      <w:r>
        <w:fldChar w:fldCharType="begin"/>
      </w:r>
      <w:r>
        <w:instrText xml:space="preserve"> HYPERLINK \l "_Toc29684" </w:instrText>
      </w:r>
      <w:r>
        <w:fldChar w:fldCharType="separate"/>
      </w:r>
      <w:r>
        <w:rPr>
          <w:rFonts w:ascii="Times New Roman" w:hAnsi="Times New Roman" w:eastAsia="黑体"/>
          <w:kern w:val="0"/>
          <w:sz w:val="28"/>
          <w:szCs w:val="28"/>
        </w:rPr>
        <w:t>第二部分  毕业生就业状况</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_Toc29684 </w:instrText>
      </w:r>
      <w:r>
        <w:rPr>
          <w:rFonts w:ascii="Times New Roman" w:hAnsi="Times New Roman"/>
          <w:sz w:val="28"/>
          <w:szCs w:val="28"/>
        </w:rPr>
        <w:fldChar w:fldCharType="separate"/>
      </w:r>
      <w:r>
        <w:rPr>
          <w:rFonts w:ascii="Times New Roman" w:hAnsi="Times New Roman"/>
          <w:sz w:val="28"/>
          <w:szCs w:val="28"/>
        </w:rPr>
        <w:t>7</w:t>
      </w:r>
      <w:r>
        <w:rPr>
          <w:rFonts w:ascii="Times New Roman" w:hAnsi="Times New Roman"/>
          <w:sz w:val="28"/>
          <w:szCs w:val="28"/>
        </w:rPr>
        <w:fldChar w:fldCharType="end"/>
      </w:r>
      <w:r>
        <w:rPr>
          <w:rFonts w:ascii="Times New Roman" w:hAnsi="Times New Roman"/>
          <w:sz w:val="28"/>
          <w:szCs w:val="28"/>
        </w:rPr>
        <w:fldChar w:fldCharType="end"/>
      </w:r>
    </w:p>
    <w:p>
      <w:pPr>
        <w:pStyle w:val="14"/>
        <w:tabs>
          <w:tab w:val="right" w:leader="dot" w:pos="8306"/>
        </w:tabs>
        <w:rPr>
          <w:rFonts w:ascii="Times New Roman" w:hAnsi="Times New Roman"/>
          <w:sz w:val="28"/>
          <w:szCs w:val="28"/>
        </w:rPr>
      </w:pPr>
      <w:r>
        <w:fldChar w:fldCharType="begin"/>
      </w:r>
      <w:r>
        <w:instrText xml:space="preserve"> HYPERLINK \l "_Toc25354" </w:instrText>
      </w:r>
      <w:r>
        <w:fldChar w:fldCharType="separate"/>
      </w:r>
      <w:r>
        <w:rPr>
          <w:rFonts w:ascii="Times New Roman" w:hAnsi="Times New Roman" w:eastAsia="仿宋_GB2312"/>
          <w:sz w:val="28"/>
          <w:szCs w:val="28"/>
        </w:rPr>
        <w:t>2.1整体就业率</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_Toc25354 </w:instrText>
      </w:r>
      <w:r>
        <w:rPr>
          <w:rFonts w:ascii="Times New Roman" w:hAnsi="Times New Roman"/>
          <w:sz w:val="28"/>
          <w:szCs w:val="28"/>
        </w:rPr>
        <w:fldChar w:fldCharType="separate"/>
      </w:r>
      <w:r>
        <w:rPr>
          <w:rFonts w:ascii="Times New Roman" w:hAnsi="Times New Roman"/>
          <w:sz w:val="28"/>
          <w:szCs w:val="28"/>
        </w:rPr>
        <w:t>7</w:t>
      </w:r>
      <w:r>
        <w:rPr>
          <w:rFonts w:ascii="Times New Roman" w:hAnsi="Times New Roman"/>
          <w:sz w:val="28"/>
          <w:szCs w:val="28"/>
        </w:rPr>
        <w:fldChar w:fldCharType="end"/>
      </w:r>
      <w:r>
        <w:rPr>
          <w:rFonts w:ascii="Times New Roman" w:hAnsi="Times New Roman"/>
          <w:sz w:val="28"/>
          <w:szCs w:val="28"/>
        </w:rPr>
        <w:fldChar w:fldCharType="end"/>
      </w:r>
    </w:p>
    <w:p>
      <w:pPr>
        <w:pStyle w:val="14"/>
        <w:tabs>
          <w:tab w:val="right" w:leader="dot" w:pos="8306"/>
        </w:tabs>
        <w:rPr>
          <w:rFonts w:ascii="Times New Roman" w:hAnsi="Times New Roman"/>
          <w:sz w:val="28"/>
          <w:szCs w:val="28"/>
        </w:rPr>
      </w:pPr>
      <w:r>
        <w:fldChar w:fldCharType="begin"/>
      </w:r>
      <w:r>
        <w:instrText xml:space="preserve"> HYPERLINK \l "_Toc23369" </w:instrText>
      </w:r>
      <w:r>
        <w:fldChar w:fldCharType="separate"/>
      </w:r>
      <w:r>
        <w:rPr>
          <w:rFonts w:ascii="Times New Roman" w:hAnsi="Times New Roman" w:eastAsia="仿宋_GB2312"/>
          <w:sz w:val="28"/>
          <w:szCs w:val="28"/>
        </w:rPr>
        <w:t>2.2 毕业去向</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_Toc23369 </w:instrText>
      </w:r>
      <w:r>
        <w:rPr>
          <w:rFonts w:ascii="Times New Roman" w:hAnsi="Times New Roman"/>
          <w:sz w:val="28"/>
          <w:szCs w:val="28"/>
        </w:rPr>
        <w:fldChar w:fldCharType="separate"/>
      </w:r>
      <w:r>
        <w:rPr>
          <w:rFonts w:ascii="Times New Roman" w:hAnsi="Times New Roman"/>
          <w:sz w:val="28"/>
          <w:szCs w:val="28"/>
        </w:rPr>
        <w:t>8</w:t>
      </w:r>
      <w:r>
        <w:rPr>
          <w:rFonts w:ascii="Times New Roman" w:hAnsi="Times New Roman"/>
          <w:sz w:val="28"/>
          <w:szCs w:val="28"/>
        </w:rPr>
        <w:fldChar w:fldCharType="end"/>
      </w:r>
      <w:r>
        <w:rPr>
          <w:rFonts w:ascii="Times New Roman" w:hAnsi="Times New Roman"/>
          <w:sz w:val="28"/>
          <w:szCs w:val="28"/>
        </w:rPr>
        <w:fldChar w:fldCharType="end"/>
      </w:r>
    </w:p>
    <w:p>
      <w:pPr>
        <w:pStyle w:val="7"/>
        <w:tabs>
          <w:tab w:val="right" w:leader="dot" w:pos="8306"/>
        </w:tabs>
        <w:rPr>
          <w:rFonts w:ascii="Times New Roman" w:hAnsi="Times New Roman"/>
          <w:sz w:val="28"/>
          <w:szCs w:val="28"/>
        </w:rPr>
      </w:pPr>
      <w:r>
        <w:fldChar w:fldCharType="begin"/>
      </w:r>
      <w:r>
        <w:instrText xml:space="preserve"> HYPERLINK \l "_Toc17404" </w:instrText>
      </w:r>
      <w:r>
        <w:fldChar w:fldCharType="separate"/>
      </w:r>
      <w:r>
        <w:rPr>
          <w:rFonts w:ascii="Times New Roman" w:hAnsi="Times New Roman" w:eastAsia="仿宋_GB2312"/>
          <w:sz w:val="28"/>
          <w:szCs w:val="28"/>
        </w:rPr>
        <w:t>2.2.１院系毕业生就业状况</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_Toc17404 </w:instrText>
      </w:r>
      <w:r>
        <w:rPr>
          <w:rFonts w:ascii="Times New Roman" w:hAnsi="Times New Roman"/>
          <w:sz w:val="28"/>
          <w:szCs w:val="28"/>
        </w:rPr>
        <w:fldChar w:fldCharType="separate"/>
      </w:r>
      <w:r>
        <w:rPr>
          <w:rFonts w:ascii="Times New Roman" w:hAnsi="Times New Roman"/>
          <w:sz w:val="28"/>
          <w:szCs w:val="28"/>
        </w:rPr>
        <w:t>8</w:t>
      </w:r>
      <w:r>
        <w:rPr>
          <w:rFonts w:ascii="Times New Roman" w:hAnsi="Times New Roman"/>
          <w:sz w:val="28"/>
          <w:szCs w:val="28"/>
        </w:rPr>
        <w:fldChar w:fldCharType="end"/>
      </w:r>
      <w:r>
        <w:rPr>
          <w:rFonts w:ascii="Times New Roman" w:hAnsi="Times New Roman"/>
          <w:sz w:val="28"/>
          <w:szCs w:val="28"/>
        </w:rPr>
        <w:fldChar w:fldCharType="end"/>
      </w:r>
    </w:p>
    <w:p>
      <w:pPr>
        <w:pStyle w:val="7"/>
        <w:tabs>
          <w:tab w:val="right" w:leader="dot" w:pos="8306"/>
        </w:tabs>
        <w:rPr>
          <w:rFonts w:ascii="Times New Roman" w:hAnsi="Times New Roman"/>
          <w:sz w:val="28"/>
          <w:szCs w:val="28"/>
        </w:rPr>
      </w:pPr>
      <w:r>
        <w:fldChar w:fldCharType="begin"/>
      </w:r>
      <w:r>
        <w:instrText xml:space="preserve"> HYPERLINK \l "_Toc28608" </w:instrText>
      </w:r>
      <w:r>
        <w:fldChar w:fldCharType="separate"/>
      </w:r>
      <w:r>
        <w:rPr>
          <w:rFonts w:ascii="Times New Roman" w:hAnsi="Times New Roman" w:eastAsia="仿宋_GB2312"/>
          <w:sz w:val="28"/>
          <w:szCs w:val="28"/>
        </w:rPr>
        <w:t>2.2.2 各学科专业就业情况</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_Toc28608 </w:instrText>
      </w:r>
      <w:r>
        <w:rPr>
          <w:rFonts w:ascii="Times New Roman" w:hAnsi="Times New Roman"/>
          <w:sz w:val="28"/>
          <w:szCs w:val="28"/>
        </w:rPr>
        <w:fldChar w:fldCharType="separate"/>
      </w:r>
      <w:r>
        <w:rPr>
          <w:rFonts w:ascii="Times New Roman" w:hAnsi="Times New Roman"/>
          <w:sz w:val="28"/>
          <w:szCs w:val="28"/>
        </w:rPr>
        <w:t>9</w:t>
      </w:r>
      <w:r>
        <w:rPr>
          <w:rFonts w:ascii="Times New Roman" w:hAnsi="Times New Roman"/>
          <w:sz w:val="28"/>
          <w:szCs w:val="28"/>
        </w:rPr>
        <w:fldChar w:fldCharType="end"/>
      </w:r>
      <w:r>
        <w:rPr>
          <w:rFonts w:ascii="Times New Roman" w:hAnsi="Times New Roman"/>
          <w:sz w:val="28"/>
          <w:szCs w:val="28"/>
        </w:rPr>
        <w:fldChar w:fldCharType="end"/>
      </w:r>
    </w:p>
    <w:p>
      <w:pPr>
        <w:pStyle w:val="14"/>
        <w:tabs>
          <w:tab w:val="right" w:leader="dot" w:pos="8306"/>
        </w:tabs>
        <w:rPr>
          <w:rFonts w:ascii="Times New Roman" w:hAnsi="Times New Roman"/>
          <w:sz w:val="28"/>
          <w:szCs w:val="28"/>
        </w:rPr>
      </w:pPr>
      <w:r>
        <w:fldChar w:fldCharType="begin"/>
      </w:r>
      <w:r>
        <w:instrText xml:space="preserve"> HYPERLINK \l "_Toc27724" </w:instrText>
      </w:r>
      <w:r>
        <w:fldChar w:fldCharType="separate"/>
      </w:r>
      <w:r>
        <w:rPr>
          <w:rFonts w:ascii="Times New Roman" w:hAnsi="Times New Roman" w:eastAsia="仿宋_GB2312"/>
          <w:sz w:val="28"/>
          <w:szCs w:val="28"/>
        </w:rPr>
        <w:t>2.3 毕业生就业结构</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_Toc27724 </w:instrText>
      </w:r>
      <w:r>
        <w:rPr>
          <w:rFonts w:ascii="Times New Roman" w:hAnsi="Times New Roman"/>
          <w:sz w:val="28"/>
          <w:szCs w:val="28"/>
        </w:rPr>
        <w:fldChar w:fldCharType="separate"/>
      </w:r>
      <w:r>
        <w:rPr>
          <w:rFonts w:ascii="Times New Roman" w:hAnsi="Times New Roman"/>
          <w:sz w:val="28"/>
          <w:szCs w:val="28"/>
        </w:rPr>
        <w:t>10</w:t>
      </w:r>
      <w:r>
        <w:rPr>
          <w:rFonts w:ascii="Times New Roman" w:hAnsi="Times New Roman"/>
          <w:sz w:val="28"/>
          <w:szCs w:val="28"/>
        </w:rPr>
        <w:fldChar w:fldCharType="end"/>
      </w:r>
      <w:r>
        <w:rPr>
          <w:rFonts w:ascii="Times New Roman" w:hAnsi="Times New Roman"/>
          <w:sz w:val="28"/>
          <w:szCs w:val="28"/>
        </w:rPr>
        <w:fldChar w:fldCharType="end"/>
      </w:r>
    </w:p>
    <w:p>
      <w:pPr>
        <w:pStyle w:val="7"/>
        <w:tabs>
          <w:tab w:val="right" w:leader="dot" w:pos="8306"/>
        </w:tabs>
        <w:rPr>
          <w:rFonts w:ascii="Times New Roman" w:hAnsi="Times New Roman"/>
          <w:sz w:val="28"/>
          <w:szCs w:val="28"/>
        </w:rPr>
      </w:pPr>
      <w:r>
        <w:fldChar w:fldCharType="begin"/>
      </w:r>
      <w:r>
        <w:instrText xml:space="preserve"> HYPERLINK \l "_Toc8915" </w:instrText>
      </w:r>
      <w:r>
        <w:fldChar w:fldCharType="separate"/>
      </w:r>
      <w:r>
        <w:rPr>
          <w:rFonts w:ascii="Times New Roman" w:hAnsi="Times New Roman" w:eastAsia="仿宋_GB2312"/>
          <w:sz w:val="28"/>
          <w:szCs w:val="28"/>
        </w:rPr>
        <w:t>2.3.1 就业地域分布</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_Toc8915 </w:instrText>
      </w:r>
      <w:r>
        <w:rPr>
          <w:rFonts w:ascii="Times New Roman" w:hAnsi="Times New Roman"/>
          <w:sz w:val="28"/>
          <w:szCs w:val="28"/>
        </w:rPr>
        <w:fldChar w:fldCharType="separate"/>
      </w:r>
      <w:r>
        <w:rPr>
          <w:rFonts w:ascii="Times New Roman" w:hAnsi="Times New Roman"/>
          <w:sz w:val="28"/>
          <w:szCs w:val="28"/>
        </w:rPr>
        <w:t>10</w:t>
      </w:r>
      <w:r>
        <w:rPr>
          <w:rFonts w:ascii="Times New Roman" w:hAnsi="Times New Roman"/>
          <w:sz w:val="28"/>
          <w:szCs w:val="28"/>
        </w:rPr>
        <w:fldChar w:fldCharType="end"/>
      </w:r>
      <w:r>
        <w:rPr>
          <w:rFonts w:ascii="Times New Roman" w:hAnsi="Times New Roman"/>
          <w:sz w:val="28"/>
          <w:szCs w:val="28"/>
        </w:rPr>
        <w:fldChar w:fldCharType="end"/>
      </w:r>
    </w:p>
    <w:p>
      <w:pPr>
        <w:pStyle w:val="7"/>
        <w:tabs>
          <w:tab w:val="right" w:leader="dot" w:pos="8306"/>
        </w:tabs>
        <w:rPr>
          <w:rFonts w:ascii="Times New Roman" w:hAnsi="Times New Roman"/>
          <w:sz w:val="28"/>
          <w:szCs w:val="28"/>
        </w:rPr>
      </w:pPr>
      <w:r>
        <w:fldChar w:fldCharType="begin"/>
      </w:r>
      <w:r>
        <w:instrText xml:space="preserve"> HYPERLINK \l "_Toc14253" </w:instrText>
      </w:r>
      <w:r>
        <w:fldChar w:fldCharType="separate"/>
      </w:r>
      <w:r>
        <w:rPr>
          <w:rFonts w:ascii="Times New Roman" w:hAnsi="Times New Roman" w:eastAsia="仿宋_GB2312"/>
          <w:sz w:val="28"/>
          <w:szCs w:val="28"/>
        </w:rPr>
        <w:t>2.3.2 单位行业流向</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_Toc14253 </w:instrText>
      </w:r>
      <w:r>
        <w:rPr>
          <w:rFonts w:ascii="Times New Roman" w:hAnsi="Times New Roman"/>
          <w:sz w:val="28"/>
          <w:szCs w:val="28"/>
        </w:rPr>
        <w:fldChar w:fldCharType="separate"/>
      </w:r>
      <w:r>
        <w:rPr>
          <w:rFonts w:ascii="Times New Roman" w:hAnsi="Times New Roman"/>
          <w:sz w:val="28"/>
          <w:szCs w:val="28"/>
        </w:rPr>
        <w:t>11</w:t>
      </w:r>
      <w:r>
        <w:rPr>
          <w:rFonts w:ascii="Times New Roman" w:hAnsi="Times New Roman"/>
          <w:sz w:val="28"/>
          <w:szCs w:val="28"/>
        </w:rPr>
        <w:fldChar w:fldCharType="end"/>
      </w:r>
      <w:r>
        <w:rPr>
          <w:rFonts w:ascii="Times New Roman" w:hAnsi="Times New Roman"/>
          <w:sz w:val="28"/>
          <w:szCs w:val="28"/>
        </w:rPr>
        <w:fldChar w:fldCharType="end"/>
      </w:r>
    </w:p>
    <w:p>
      <w:pPr>
        <w:pStyle w:val="7"/>
        <w:tabs>
          <w:tab w:val="right" w:leader="dot" w:pos="8306"/>
        </w:tabs>
        <w:rPr>
          <w:rFonts w:ascii="Times New Roman" w:hAnsi="Times New Roman"/>
          <w:sz w:val="28"/>
          <w:szCs w:val="28"/>
        </w:rPr>
      </w:pPr>
      <w:r>
        <w:fldChar w:fldCharType="begin"/>
      </w:r>
      <w:r>
        <w:instrText xml:space="preserve"> HYPERLINK \l "_Toc22781" </w:instrText>
      </w:r>
      <w:r>
        <w:fldChar w:fldCharType="separate"/>
      </w:r>
      <w:r>
        <w:rPr>
          <w:rFonts w:ascii="Times New Roman" w:hAnsi="Times New Roman" w:eastAsia="仿宋_GB2312"/>
          <w:sz w:val="28"/>
          <w:szCs w:val="28"/>
        </w:rPr>
        <w:t>2.3.3 单位性质</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_Toc22781 </w:instrText>
      </w:r>
      <w:r>
        <w:rPr>
          <w:rFonts w:ascii="Times New Roman" w:hAnsi="Times New Roman"/>
          <w:sz w:val="28"/>
          <w:szCs w:val="28"/>
        </w:rPr>
        <w:fldChar w:fldCharType="separate"/>
      </w:r>
      <w:r>
        <w:rPr>
          <w:rFonts w:ascii="Times New Roman" w:hAnsi="Times New Roman"/>
          <w:sz w:val="28"/>
          <w:szCs w:val="28"/>
        </w:rPr>
        <w:t>13</w:t>
      </w:r>
      <w:r>
        <w:rPr>
          <w:rFonts w:ascii="Times New Roman" w:hAnsi="Times New Roman"/>
          <w:sz w:val="28"/>
          <w:szCs w:val="28"/>
        </w:rPr>
        <w:fldChar w:fldCharType="end"/>
      </w:r>
      <w:r>
        <w:rPr>
          <w:rFonts w:ascii="Times New Roman" w:hAnsi="Times New Roman"/>
          <w:sz w:val="28"/>
          <w:szCs w:val="28"/>
        </w:rPr>
        <w:fldChar w:fldCharType="end"/>
      </w:r>
    </w:p>
    <w:p>
      <w:pPr>
        <w:pStyle w:val="7"/>
        <w:tabs>
          <w:tab w:val="right" w:leader="dot" w:pos="8306"/>
        </w:tabs>
        <w:rPr>
          <w:rFonts w:ascii="Times New Roman" w:hAnsi="Times New Roman"/>
          <w:sz w:val="28"/>
          <w:szCs w:val="28"/>
        </w:rPr>
      </w:pPr>
      <w:r>
        <w:fldChar w:fldCharType="begin"/>
      </w:r>
      <w:r>
        <w:instrText xml:space="preserve"> HYPERLINK \l "_Toc31203" </w:instrText>
      </w:r>
      <w:r>
        <w:fldChar w:fldCharType="separate"/>
      </w:r>
      <w:r>
        <w:rPr>
          <w:rFonts w:ascii="Times New Roman" w:hAnsi="Times New Roman" w:eastAsia="仿宋_GB2312"/>
          <w:sz w:val="28"/>
          <w:szCs w:val="28"/>
        </w:rPr>
        <w:t>2.3.4 升学分析</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_Toc31203 </w:instrText>
      </w:r>
      <w:r>
        <w:rPr>
          <w:rFonts w:ascii="Times New Roman" w:hAnsi="Times New Roman"/>
          <w:sz w:val="28"/>
          <w:szCs w:val="28"/>
        </w:rPr>
        <w:fldChar w:fldCharType="separate"/>
      </w:r>
      <w:r>
        <w:rPr>
          <w:rFonts w:ascii="Times New Roman" w:hAnsi="Times New Roman"/>
          <w:sz w:val="28"/>
          <w:szCs w:val="28"/>
        </w:rPr>
        <w:t>14</w:t>
      </w:r>
      <w:r>
        <w:rPr>
          <w:rFonts w:ascii="Times New Roman" w:hAnsi="Times New Roman"/>
          <w:sz w:val="28"/>
          <w:szCs w:val="28"/>
        </w:rPr>
        <w:fldChar w:fldCharType="end"/>
      </w:r>
      <w:r>
        <w:rPr>
          <w:rFonts w:ascii="Times New Roman" w:hAnsi="Times New Roman"/>
          <w:sz w:val="28"/>
          <w:szCs w:val="28"/>
        </w:rPr>
        <w:fldChar w:fldCharType="end"/>
      </w:r>
    </w:p>
    <w:p>
      <w:pPr>
        <w:pStyle w:val="7"/>
        <w:tabs>
          <w:tab w:val="right" w:leader="dot" w:pos="8306"/>
        </w:tabs>
        <w:rPr>
          <w:rFonts w:ascii="Times New Roman" w:hAnsi="Times New Roman"/>
          <w:sz w:val="28"/>
          <w:szCs w:val="28"/>
        </w:rPr>
      </w:pPr>
      <w:r>
        <w:fldChar w:fldCharType="begin"/>
      </w:r>
      <w:r>
        <w:instrText xml:space="preserve"> HYPERLINK \l "_Toc23393" </w:instrText>
      </w:r>
      <w:r>
        <w:fldChar w:fldCharType="separate"/>
      </w:r>
      <w:r>
        <w:rPr>
          <w:rFonts w:ascii="Times New Roman" w:hAnsi="Times New Roman" w:eastAsia="仿宋_GB2312"/>
          <w:sz w:val="28"/>
          <w:szCs w:val="28"/>
        </w:rPr>
        <w:t>2.3.5 国内外升学情况</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_Toc23393 </w:instrText>
      </w:r>
      <w:r>
        <w:rPr>
          <w:rFonts w:ascii="Times New Roman" w:hAnsi="Times New Roman"/>
          <w:sz w:val="28"/>
          <w:szCs w:val="28"/>
        </w:rPr>
        <w:fldChar w:fldCharType="separate"/>
      </w:r>
      <w:r>
        <w:rPr>
          <w:rFonts w:ascii="Times New Roman" w:hAnsi="Times New Roman"/>
          <w:sz w:val="28"/>
          <w:szCs w:val="28"/>
        </w:rPr>
        <w:t>14</w:t>
      </w:r>
      <w:r>
        <w:rPr>
          <w:rFonts w:ascii="Times New Roman" w:hAnsi="Times New Roman"/>
          <w:sz w:val="28"/>
          <w:szCs w:val="28"/>
        </w:rPr>
        <w:fldChar w:fldCharType="end"/>
      </w:r>
      <w:r>
        <w:rPr>
          <w:rFonts w:ascii="Times New Roman" w:hAnsi="Times New Roman"/>
          <w:sz w:val="28"/>
          <w:szCs w:val="28"/>
        </w:rPr>
        <w:fldChar w:fldCharType="end"/>
      </w:r>
    </w:p>
    <w:p>
      <w:pPr>
        <w:pStyle w:val="7"/>
        <w:tabs>
          <w:tab w:val="right" w:leader="dot" w:pos="8306"/>
        </w:tabs>
        <w:rPr>
          <w:rFonts w:ascii="Times New Roman" w:hAnsi="Times New Roman"/>
          <w:sz w:val="28"/>
          <w:szCs w:val="28"/>
        </w:rPr>
      </w:pPr>
      <w:r>
        <w:fldChar w:fldCharType="begin"/>
      </w:r>
      <w:r>
        <w:instrText xml:space="preserve"> HYPERLINK \l "_Toc12868" </w:instrText>
      </w:r>
      <w:r>
        <w:fldChar w:fldCharType="separate"/>
      </w:r>
      <w:r>
        <w:rPr>
          <w:rFonts w:ascii="Times New Roman" w:hAnsi="Times New Roman" w:eastAsia="仿宋_GB2312"/>
          <w:sz w:val="28"/>
          <w:szCs w:val="28"/>
        </w:rPr>
        <w:t>2.3.6 重点流向院校</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_Toc12868 </w:instrText>
      </w:r>
      <w:r>
        <w:rPr>
          <w:rFonts w:ascii="Times New Roman" w:hAnsi="Times New Roman"/>
          <w:sz w:val="28"/>
          <w:szCs w:val="28"/>
        </w:rPr>
        <w:fldChar w:fldCharType="separate"/>
      </w:r>
      <w:r>
        <w:rPr>
          <w:rFonts w:ascii="Times New Roman" w:hAnsi="Times New Roman"/>
          <w:sz w:val="28"/>
          <w:szCs w:val="28"/>
        </w:rPr>
        <w:t>15</w:t>
      </w:r>
      <w:r>
        <w:rPr>
          <w:rFonts w:ascii="Times New Roman" w:hAnsi="Times New Roman"/>
          <w:sz w:val="28"/>
          <w:szCs w:val="28"/>
        </w:rPr>
        <w:fldChar w:fldCharType="end"/>
      </w:r>
      <w:r>
        <w:rPr>
          <w:rFonts w:ascii="Times New Roman" w:hAnsi="Times New Roman"/>
          <w:sz w:val="28"/>
          <w:szCs w:val="28"/>
        </w:rPr>
        <w:fldChar w:fldCharType="end"/>
      </w:r>
    </w:p>
    <w:p>
      <w:pPr>
        <w:pStyle w:val="7"/>
        <w:tabs>
          <w:tab w:val="right" w:leader="dot" w:pos="8306"/>
        </w:tabs>
        <w:rPr>
          <w:rFonts w:ascii="Times New Roman" w:hAnsi="Times New Roman"/>
          <w:sz w:val="28"/>
          <w:szCs w:val="28"/>
        </w:rPr>
      </w:pPr>
      <w:r>
        <w:fldChar w:fldCharType="begin"/>
      </w:r>
      <w:r>
        <w:instrText xml:space="preserve"> HYPERLINK \l "_Toc9142" </w:instrText>
      </w:r>
      <w:r>
        <w:fldChar w:fldCharType="separate"/>
      </w:r>
      <w:r>
        <w:rPr>
          <w:rFonts w:ascii="Times New Roman" w:hAnsi="Times New Roman" w:eastAsia="仿宋_GB2312"/>
          <w:sz w:val="28"/>
          <w:szCs w:val="28"/>
        </w:rPr>
        <w:t>2.3.7 重点单位就业</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_Toc9142 </w:instrText>
      </w:r>
      <w:r>
        <w:rPr>
          <w:rFonts w:ascii="Times New Roman" w:hAnsi="Times New Roman"/>
          <w:sz w:val="28"/>
          <w:szCs w:val="28"/>
        </w:rPr>
        <w:fldChar w:fldCharType="separate"/>
      </w:r>
      <w:r>
        <w:rPr>
          <w:rFonts w:ascii="Times New Roman" w:hAnsi="Times New Roman"/>
          <w:sz w:val="28"/>
          <w:szCs w:val="28"/>
        </w:rPr>
        <w:t>17</w:t>
      </w:r>
      <w:r>
        <w:rPr>
          <w:rFonts w:ascii="Times New Roman" w:hAnsi="Times New Roman"/>
          <w:sz w:val="28"/>
          <w:szCs w:val="28"/>
        </w:rPr>
        <w:fldChar w:fldCharType="end"/>
      </w:r>
      <w:r>
        <w:rPr>
          <w:rFonts w:ascii="Times New Roman" w:hAnsi="Times New Roman"/>
          <w:sz w:val="28"/>
          <w:szCs w:val="28"/>
        </w:rPr>
        <w:fldChar w:fldCharType="end"/>
      </w:r>
    </w:p>
    <w:p>
      <w:pPr>
        <w:pStyle w:val="11"/>
        <w:tabs>
          <w:tab w:val="right" w:leader="dot" w:pos="8306"/>
        </w:tabs>
        <w:rPr>
          <w:rFonts w:ascii="Times New Roman" w:hAnsi="Times New Roman" w:eastAsia="黑体"/>
          <w:color w:val="000000"/>
          <w:kern w:val="0"/>
          <w:sz w:val="28"/>
          <w:szCs w:val="28"/>
        </w:rPr>
      </w:pPr>
    </w:p>
    <w:p>
      <w:pPr>
        <w:pStyle w:val="11"/>
        <w:tabs>
          <w:tab w:val="right" w:leader="dot" w:pos="8306"/>
        </w:tabs>
        <w:rPr>
          <w:rFonts w:ascii="Times New Roman" w:hAnsi="Times New Roman"/>
          <w:sz w:val="28"/>
          <w:szCs w:val="28"/>
        </w:rPr>
      </w:pPr>
      <w:r>
        <w:fldChar w:fldCharType="begin"/>
      </w:r>
      <w:r>
        <w:instrText xml:space="preserve"> HYPERLINK \l "_Toc15477" </w:instrText>
      </w:r>
      <w:r>
        <w:fldChar w:fldCharType="separate"/>
      </w:r>
      <w:r>
        <w:rPr>
          <w:rFonts w:ascii="Times New Roman" w:hAnsi="Times New Roman" w:eastAsia="黑体"/>
          <w:kern w:val="0"/>
          <w:sz w:val="28"/>
          <w:szCs w:val="28"/>
        </w:rPr>
        <w:t>第三部分  就业相关分析</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_Toc15477 </w:instrText>
      </w:r>
      <w:r>
        <w:rPr>
          <w:rFonts w:ascii="Times New Roman" w:hAnsi="Times New Roman"/>
          <w:sz w:val="28"/>
          <w:szCs w:val="28"/>
        </w:rPr>
        <w:fldChar w:fldCharType="separate"/>
      </w:r>
      <w:r>
        <w:rPr>
          <w:rFonts w:ascii="Times New Roman" w:hAnsi="Times New Roman"/>
          <w:sz w:val="28"/>
          <w:szCs w:val="28"/>
        </w:rPr>
        <w:t>20</w:t>
      </w:r>
      <w:r>
        <w:rPr>
          <w:rFonts w:ascii="Times New Roman" w:hAnsi="Times New Roman"/>
          <w:sz w:val="28"/>
          <w:szCs w:val="28"/>
        </w:rPr>
        <w:fldChar w:fldCharType="end"/>
      </w:r>
      <w:r>
        <w:rPr>
          <w:rFonts w:ascii="Times New Roman" w:hAnsi="Times New Roman"/>
          <w:sz w:val="28"/>
          <w:szCs w:val="28"/>
        </w:rPr>
        <w:fldChar w:fldCharType="end"/>
      </w:r>
    </w:p>
    <w:p>
      <w:pPr>
        <w:pStyle w:val="14"/>
        <w:tabs>
          <w:tab w:val="right" w:leader="dot" w:pos="8306"/>
        </w:tabs>
        <w:rPr>
          <w:rFonts w:ascii="Times New Roman" w:hAnsi="Times New Roman"/>
          <w:sz w:val="28"/>
          <w:szCs w:val="28"/>
        </w:rPr>
      </w:pPr>
      <w:r>
        <w:fldChar w:fldCharType="begin"/>
      </w:r>
      <w:r>
        <w:instrText xml:space="preserve"> HYPERLINK \l "_Toc30857" </w:instrText>
      </w:r>
      <w:r>
        <w:fldChar w:fldCharType="separate"/>
      </w:r>
      <w:r>
        <w:rPr>
          <w:rFonts w:ascii="Times New Roman" w:hAnsi="Times New Roman" w:eastAsia="仿宋_GB2312"/>
          <w:sz w:val="28"/>
          <w:szCs w:val="28"/>
        </w:rPr>
        <w:t>3.1就业质量分析</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_Toc30857 </w:instrText>
      </w:r>
      <w:r>
        <w:rPr>
          <w:rFonts w:ascii="Times New Roman" w:hAnsi="Times New Roman"/>
          <w:sz w:val="28"/>
          <w:szCs w:val="28"/>
        </w:rPr>
        <w:fldChar w:fldCharType="separate"/>
      </w:r>
      <w:r>
        <w:rPr>
          <w:rFonts w:ascii="Times New Roman" w:hAnsi="Times New Roman"/>
          <w:sz w:val="28"/>
          <w:szCs w:val="28"/>
        </w:rPr>
        <w:t>20</w:t>
      </w:r>
      <w:r>
        <w:rPr>
          <w:rFonts w:ascii="Times New Roman" w:hAnsi="Times New Roman"/>
          <w:sz w:val="28"/>
          <w:szCs w:val="28"/>
        </w:rPr>
        <w:fldChar w:fldCharType="end"/>
      </w:r>
      <w:r>
        <w:rPr>
          <w:rFonts w:ascii="Times New Roman" w:hAnsi="Times New Roman"/>
          <w:sz w:val="28"/>
          <w:szCs w:val="28"/>
        </w:rPr>
        <w:fldChar w:fldCharType="end"/>
      </w:r>
    </w:p>
    <w:p>
      <w:pPr>
        <w:pStyle w:val="7"/>
        <w:tabs>
          <w:tab w:val="right" w:leader="dot" w:pos="8306"/>
        </w:tabs>
        <w:rPr>
          <w:rFonts w:ascii="Times New Roman" w:hAnsi="Times New Roman"/>
          <w:sz w:val="28"/>
          <w:szCs w:val="28"/>
        </w:rPr>
      </w:pPr>
      <w:r>
        <w:fldChar w:fldCharType="begin"/>
      </w:r>
      <w:r>
        <w:instrText xml:space="preserve"> HYPERLINK \l "_Toc32674" </w:instrText>
      </w:r>
      <w:r>
        <w:fldChar w:fldCharType="separate"/>
      </w:r>
      <w:r>
        <w:rPr>
          <w:rFonts w:ascii="Times New Roman" w:hAnsi="Times New Roman" w:eastAsia="仿宋_GB2312"/>
          <w:sz w:val="28"/>
          <w:szCs w:val="28"/>
        </w:rPr>
        <w:t>3.1.1就业单位与专业相关度的评价</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_Toc32674 </w:instrText>
      </w:r>
      <w:r>
        <w:rPr>
          <w:rFonts w:ascii="Times New Roman" w:hAnsi="Times New Roman"/>
          <w:sz w:val="28"/>
          <w:szCs w:val="28"/>
        </w:rPr>
        <w:fldChar w:fldCharType="separate"/>
      </w:r>
      <w:r>
        <w:rPr>
          <w:rFonts w:ascii="Times New Roman" w:hAnsi="Times New Roman"/>
          <w:sz w:val="28"/>
          <w:szCs w:val="28"/>
        </w:rPr>
        <w:t>21</w:t>
      </w:r>
      <w:r>
        <w:rPr>
          <w:rFonts w:ascii="Times New Roman" w:hAnsi="Times New Roman"/>
          <w:sz w:val="28"/>
          <w:szCs w:val="28"/>
        </w:rPr>
        <w:fldChar w:fldCharType="end"/>
      </w:r>
      <w:r>
        <w:rPr>
          <w:rFonts w:ascii="Times New Roman" w:hAnsi="Times New Roman"/>
          <w:sz w:val="28"/>
          <w:szCs w:val="28"/>
        </w:rPr>
        <w:fldChar w:fldCharType="end"/>
      </w:r>
    </w:p>
    <w:p>
      <w:pPr>
        <w:pStyle w:val="7"/>
        <w:tabs>
          <w:tab w:val="right" w:leader="dot" w:pos="8306"/>
        </w:tabs>
        <w:rPr>
          <w:rFonts w:ascii="Times New Roman" w:hAnsi="Times New Roman"/>
          <w:sz w:val="28"/>
          <w:szCs w:val="28"/>
        </w:rPr>
      </w:pPr>
      <w:r>
        <w:fldChar w:fldCharType="begin"/>
      </w:r>
      <w:r>
        <w:instrText xml:space="preserve"> HYPERLINK \l "_Toc4812" </w:instrText>
      </w:r>
      <w:r>
        <w:fldChar w:fldCharType="separate"/>
      </w:r>
      <w:r>
        <w:rPr>
          <w:rFonts w:ascii="Times New Roman" w:hAnsi="Times New Roman" w:eastAsia="仿宋_GB2312"/>
          <w:sz w:val="28"/>
          <w:szCs w:val="28"/>
        </w:rPr>
        <w:t>3.1.2 毕业生对当前就业状况满意度的评价</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_Toc4812 </w:instrText>
      </w:r>
      <w:r>
        <w:rPr>
          <w:rFonts w:ascii="Times New Roman" w:hAnsi="Times New Roman"/>
          <w:sz w:val="28"/>
          <w:szCs w:val="28"/>
        </w:rPr>
        <w:fldChar w:fldCharType="separate"/>
      </w:r>
      <w:r>
        <w:rPr>
          <w:rFonts w:ascii="Times New Roman" w:hAnsi="Times New Roman"/>
          <w:sz w:val="28"/>
          <w:szCs w:val="28"/>
        </w:rPr>
        <w:t>22</w:t>
      </w:r>
      <w:r>
        <w:rPr>
          <w:rFonts w:ascii="Times New Roman" w:hAnsi="Times New Roman"/>
          <w:sz w:val="28"/>
          <w:szCs w:val="28"/>
        </w:rPr>
        <w:fldChar w:fldCharType="end"/>
      </w:r>
      <w:r>
        <w:rPr>
          <w:rFonts w:ascii="Times New Roman" w:hAnsi="Times New Roman"/>
          <w:sz w:val="28"/>
          <w:szCs w:val="28"/>
        </w:rPr>
        <w:fldChar w:fldCharType="end"/>
      </w:r>
    </w:p>
    <w:p>
      <w:pPr>
        <w:pStyle w:val="7"/>
        <w:tabs>
          <w:tab w:val="right" w:leader="dot" w:pos="8306"/>
        </w:tabs>
        <w:rPr>
          <w:rFonts w:ascii="Times New Roman" w:hAnsi="Times New Roman"/>
          <w:sz w:val="28"/>
          <w:szCs w:val="28"/>
        </w:rPr>
      </w:pPr>
      <w:r>
        <w:fldChar w:fldCharType="begin"/>
      </w:r>
      <w:r>
        <w:instrText xml:space="preserve"> HYPERLINK \l "_Toc4257" </w:instrText>
      </w:r>
      <w:r>
        <w:fldChar w:fldCharType="separate"/>
      </w:r>
      <w:r>
        <w:rPr>
          <w:rFonts w:ascii="Times New Roman" w:hAnsi="Times New Roman" w:eastAsia="仿宋_GB2312"/>
          <w:sz w:val="28"/>
          <w:szCs w:val="28"/>
        </w:rPr>
        <w:t>3.1.3毕业生对学校就业创业指导和服务的评价</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_Toc4257 </w:instrText>
      </w:r>
      <w:r>
        <w:rPr>
          <w:rFonts w:ascii="Times New Roman" w:hAnsi="Times New Roman"/>
          <w:sz w:val="28"/>
          <w:szCs w:val="28"/>
        </w:rPr>
        <w:fldChar w:fldCharType="separate"/>
      </w:r>
      <w:r>
        <w:rPr>
          <w:rFonts w:ascii="Times New Roman" w:hAnsi="Times New Roman"/>
          <w:sz w:val="28"/>
          <w:szCs w:val="28"/>
        </w:rPr>
        <w:t>22</w:t>
      </w:r>
      <w:r>
        <w:rPr>
          <w:rFonts w:ascii="Times New Roman" w:hAnsi="Times New Roman"/>
          <w:sz w:val="28"/>
          <w:szCs w:val="28"/>
        </w:rPr>
        <w:fldChar w:fldCharType="end"/>
      </w:r>
      <w:r>
        <w:rPr>
          <w:rFonts w:ascii="Times New Roman" w:hAnsi="Times New Roman"/>
          <w:sz w:val="28"/>
          <w:szCs w:val="28"/>
        </w:rPr>
        <w:fldChar w:fldCharType="end"/>
      </w:r>
    </w:p>
    <w:p>
      <w:pPr>
        <w:pStyle w:val="7"/>
        <w:tabs>
          <w:tab w:val="right" w:leader="dot" w:pos="8306"/>
        </w:tabs>
        <w:rPr>
          <w:rFonts w:ascii="Times New Roman" w:hAnsi="Times New Roman"/>
          <w:sz w:val="28"/>
          <w:szCs w:val="28"/>
        </w:rPr>
      </w:pPr>
      <w:r>
        <w:fldChar w:fldCharType="begin"/>
      </w:r>
      <w:r>
        <w:instrText xml:space="preserve"> HYPERLINK \l "_Toc7961" </w:instrText>
      </w:r>
      <w:r>
        <w:fldChar w:fldCharType="separate"/>
      </w:r>
      <w:r>
        <w:rPr>
          <w:rFonts w:ascii="Times New Roman" w:hAnsi="Times New Roman" w:eastAsia="仿宋_GB2312"/>
          <w:sz w:val="28"/>
          <w:szCs w:val="28"/>
        </w:rPr>
        <w:t>3.1.4 用人单位评价</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_Toc7961 </w:instrText>
      </w:r>
      <w:r>
        <w:rPr>
          <w:rFonts w:ascii="Times New Roman" w:hAnsi="Times New Roman"/>
          <w:sz w:val="28"/>
          <w:szCs w:val="28"/>
        </w:rPr>
        <w:fldChar w:fldCharType="separate"/>
      </w:r>
      <w:r>
        <w:rPr>
          <w:rFonts w:ascii="Times New Roman" w:hAnsi="Times New Roman"/>
          <w:sz w:val="28"/>
          <w:szCs w:val="28"/>
        </w:rPr>
        <w:t>23</w:t>
      </w:r>
      <w:r>
        <w:rPr>
          <w:rFonts w:ascii="Times New Roman" w:hAnsi="Times New Roman"/>
          <w:sz w:val="28"/>
          <w:szCs w:val="28"/>
        </w:rPr>
        <w:fldChar w:fldCharType="end"/>
      </w:r>
      <w:r>
        <w:rPr>
          <w:rFonts w:ascii="Times New Roman" w:hAnsi="Times New Roman"/>
          <w:sz w:val="28"/>
          <w:szCs w:val="28"/>
        </w:rPr>
        <w:fldChar w:fldCharType="end"/>
      </w:r>
    </w:p>
    <w:p>
      <w:pPr>
        <w:pStyle w:val="11"/>
        <w:tabs>
          <w:tab w:val="right" w:leader="dot" w:pos="8306"/>
        </w:tabs>
        <w:rPr>
          <w:rFonts w:ascii="Times New Roman" w:hAnsi="Times New Roman"/>
          <w:sz w:val="28"/>
          <w:szCs w:val="28"/>
        </w:rPr>
      </w:pPr>
      <w:r>
        <w:fldChar w:fldCharType="begin"/>
      </w:r>
      <w:r>
        <w:instrText xml:space="preserve"> HYPERLINK \l "_Toc4601" </w:instrText>
      </w:r>
      <w:r>
        <w:fldChar w:fldCharType="separate"/>
      </w:r>
      <w:r>
        <w:rPr>
          <w:rFonts w:ascii="Times New Roman" w:hAnsi="Times New Roman" w:eastAsia="黑体"/>
          <w:kern w:val="0"/>
          <w:sz w:val="28"/>
          <w:szCs w:val="28"/>
        </w:rPr>
        <w:t>第四部分  对教育教学的反馈</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_Toc4601 </w:instrText>
      </w:r>
      <w:r>
        <w:rPr>
          <w:rFonts w:ascii="Times New Roman" w:hAnsi="Times New Roman"/>
          <w:sz w:val="28"/>
          <w:szCs w:val="28"/>
        </w:rPr>
        <w:fldChar w:fldCharType="separate"/>
      </w:r>
      <w:r>
        <w:rPr>
          <w:rFonts w:ascii="Times New Roman" w:hAnsi="Times New Roman"/>
          <w:sz w:val="28"/>
          <w:szCs w:val="28"/>
        </w:rPr>
        <w:t>25</w:t>
      </w:r>
      <w:r>
        <w:rPr>
          <w:rFonts w:ascii="Times New Roman" w:hAnsi="Times New Roman"/>
          <w:sz w:val="28"/>
          <w:szCs w:val="28"/>
        </w:rPr>
        <w:fldChar w:fldCharType="end"/>
      </w:r>
      <w:r>
        <w:rPr>
          <w:rFonts w:ascii="Times New Roman" w:hAnsi="Times New Roman"/>
          <w:sz w:val="28"/>
          <w:szCs w:val="28"/>
        </w:rPr>
        <w:fldChar w:fldCharType="end"/>
      </w:r>
    </w:p>
    <w:p>
      <w:pPr>
        <w:pStyle w:val="14"/>
        <w:tabs>
          <w:tab w:val="right" w:leader="dot" w:pos="8306"/>
        </w:tabs>
        <w:rPr>
          <w:rFonts w:ascii="Times New Roman" w:hAnsi="Times New Roman"/>
          <w:sz w:val="28"/>
          <w:szCs w:val="28"/>
        </w:rPr>
      </w:pPr>
      <w:r>
        <w:fldChar w:fldCharType="begin"/>
      </w:r>
      <w:r>
        <w:instrText xml:space="preserve"> HYPERLINK \l "_Toc31728" </w:instrText>
      </w:r>
      <w:r>
        <w:fldChar w:fldCharType="separate"/>
      </w:r>
      <w:r>
        <w:rPr>
          <w:rFonts w:ascii="Times New Roman" w:hAnsi="Times New Roman" w:eastAsia="仿宋_GB2312"/>
          <w:sz w:val="28"/>
          <w:szCs w:val="28"/>
        </w:rPr>
        <w:t>4.1</w:t>
      </w:r>
      <w:r>
        <w:rPr>
          <w:rFonts w:hint="eastAsia" w:ascii="Times New Roman" w:hAnsi="Times New Roman" w:eastAsia="仿宋_GB2312"/>
          <w:sz w:val="28"/>
          <w:szCs w:val="28"/>
        </w:rPr>
        <w:t>以就业为抓手，</w:t>
      </w:r>
      <w:r>
        <w:rPr>
          <w:rFonts w:ascii="Times New Roman" w:hAnsi="Times New Roman" w:eastAsia="仿宋_GB2312"/>
          <w:sz w:val="28"/>
          <w:szCs w:val="28"/>
        </w:rPr>
        <w:t>建立招生、专业设置与就业良性联动机制</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_Toc31728 </w:instrText>
      </w:r>
      <w:r>
        <w:rPr>
          <w:rFonts w:ascii="Times New Roman" w:hAnsi="Times New Roman"/>
          <w:sz w:val="28"/>
          <w:szCs w:val="28"/>
        </w:rPr>
        <w:fldChar w:fldCharType="separate"/>
      </w:r>
      <w:r>
        <w:rPr>
          <w:rFonts w:ascii="Times New Roman" w:hAnsi="Times New Roman"/>
          <w:sz w:val="28"/>
          <w:szCs w:val="28"/>
        </w:rPr>
        <w:t>25</w:t>
      </w:r>
      <w:r>
        <w:rPr>
          <w:rFonts w:ascii="Times New Roman" w:hAnsi="Times New Roman"/>
          <w:sz w:val="28"/>
          <w:szCs w:val="28"/>
        </w:rPr>
        <w:fldChar w:fldCharType="end"/>
      </w:r>
      <w:r>
        <w:rPr>
          <w:rFonts w:ascii="Times New Roman" w:hAnsi="Times New Roman"/>
          <w:sz w:val="28"/>
          <w:szCs w:val="28"/>
        </w:rPr>
        <w:fldChar w:fldCharType="end"/>
      </w:r>
    </w:p>
    <w:p>
      <w:pPr>
        <w:pStyle w:val="14"/>
        <w:tabs>
          <w:tab w:val="right" w:leader="dot" w:pos="8306"/>
        </w:tabs>
        <w:rPr>
          <w:rFonts w:ascii="Times New Roman" w:hAnsi="Times New Roman"/>
          <w:sz w:val="28"/>
          <w:szCs w:val="28"/>
        </w:rPr>
      </w:pPr>
      <w:r>
        <w:fldChar w:fldCharType="begin"/>
      </w:r>
      <w:r>
        <w:instrText xml:space="preserve"> HYPERLINK \l "_Toc24055" </w:instrText>
      </w:r>
      <w:r>
        <w:fldChar w:fldCharType="separate"/>
      </w:r>
      <w:r>
        <w:rPr>
          <w:rFonts w:ascii="Times New Roman" w:hAnsi="Times New Roman" w:eastAsia="仿宋_GB2312"/>
          <w:sz w:val="28"/>
          <w:szCs w:val="28"/>
        </w:rPr>
        <w:t>4.2</w:t>
      </w:r>
      <w:r>
        <w:rPr>
          <w:rFonts w:hint="eastAsia" w:ascii="Times New Roman" w:hAnsi="Times New Roman" w:eastAsia="仿宋_GB2312"/>
          <w:sz w:val="28"/>
          <w:szCs w:val="28"/>
        </w:rPr>
        <w:t>以市场为导向，</w:t>
      </w:r>
      <w:r>
        <w:rPr>
          <w:rFonts w:ascii="Times New Roman" w:hAnsi="Times New Roman" w:eastAsia="仿宋_GB2312"/>
          <w:sz w:val="28"/>
          <w:szCs w:val="28"/>
        </w:rPr>
        <w:t>构建招生、人才培养与社会需求内在关联体系</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_Toc24055 </w:instrText>
      </w:r>
      <w:r>
        <w:rPr>
          <w:rFonts w:ascii="Times New Roman" w:hAnsi="Times New Roman"/>
          <w:sz w:val="28"/>
          <w:szCs w:val="28"/>
        </w:rPr>
        <w:fldChar w:fldCharType="separate"/>
      </w:r>
      <w:r>
        <w:rPr>
          <w:rFonts w:ascii="Times New Roman" w:hAnsi="Times New Roman"/>
          <w:sz w:val="28"/>
          <w:szCs w:val="28"/>
        </w:rPr>
        <w:t>25</w:t>
      </w:r>
      <w:r>
        <w:rPr>
          <w:rFonts w:ascii="Times New Roman" w:hAnsi="Times New Roman"/>
          <w:sz w:val="28"/>
          <w:szCs w:val="28"/>
        </w:rPr>
        <w:fldChar w:fldCharType="end"/>
      </w:r>
      <w:r>
        <w:rPr>
          <w:rFonts w:ascii="Times New Roman" w:hAnsi="Times New Roman"/>
          <w:sz w:val="28"/>
          <w:szCs w:val="28"/>
        </w:rPr>
        <w:fldChar w:fldCharType="end"/>
      </w:r>
    </w:p>
    <w:p>
      <w:pPr>
        <w:pStyle w:val="14"/>
        <w:tabs>
          <w:tab w:val="right" w:leader="dot" w:pos="8306"/>
        </w:tabs>
        <w:rPr>
          <w:rFonts w:ascii="Times New Roman" w:hAnsi="Times New Roman"/>
          <w:sz w:val="28"/>
          <w:szCs w:val="28"/>
        </w:rPr>
      </w:pPr>
      <w:r>
        <w:fldChar w:fldCharType="begin"/>
      </w:r>
      <w:r>
        <w:instrText xml:space="preserve"> HYPERLINK \l "_Toc24844" </w:instrText>
      </w:r>
      <w:r>
        <w:fldChar w:fldCharType="separate"/>
      </w:r>
      <w:r>
        <w:rPr>
          <w:rFonts w:ascii="Times New Roman" w:hAnsi="Times New Roman" w:eastAsia="仿宋_GB2312"/>
          <w:sz w:val="28"/>
          <w:szCs w:val="28"/>
        </w:rPr>
        <w:t>4.3用人单位对我校毕业生质量的评价</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_Toc24844 </w:instrText>
      </w:r>
      <w:r>
        <w:rPr>
          <w:rFonts w:ascii="Times New Roman" w:hAnsi="Times New Roman"/>
          <w:sz w:val="28"/>
          <w:szCs w:val="28"/>
        </w:rPr>
        <w:fldChar w:fldCharType="separate"/>
      </w:r>
      <w:r>
        <w:rPr>
          <w:rFonts w:ascii="Times New Roman" w:hAnsi="Times New Roman"/>
          <w:sz w:val="28"/>
          <w:szCs w:val="28"/>
        </w:rPr>
        <w:t>26</w:t>
      </w:r>
      <w:r>
        <w:rPr>
          <w:rFonts w:ascii="Times New Roman" w:hAnsi="Times New Roman"/>
          <w:sz w:val="28"/>
          <w:szCs w:val="28"/>
        </w:rPr>
        <w:fldChar w:fldCharType="end"/>
      </w:r>
      <w:r>
        <w:rPr>
          <w:rFonts w:ascii="Times New Roman" w:hAnsi="Times New Roman"/>
          <w:sz w:val="28"/>
          <w:szCs w:val="28"/>
        </w:rPr>
        <w:fldChar w:fldCharType="end"/>
      </w:r>
    </w:p>
    <w:p>
      <w:pPr>
        <w:pStyle w:val="14"/>
        <w:tabs>
          <w:tab w:val="right" w:leader="dot" w:pos="8306"/>
        </w:tabs>
        <w:rPr>
          <w:rFonts w:ascii="Times New Roman" w:hAnsi="Times New Roman"/>
          <w:sz w:val="28"/>
          <w:szCs w:val="28"/>
        </w:rPr>
      </w:pPr>
      <w:r>
        <w:fldChar w:fldCharType="begin"/>
      </w:r>
      <w:r>
        <w:instrText xml:space="preserve"> HYPERLINK \l "_Toc390" </w:instrText>
      </w:r>
      <w:r>
        <w:fldChar w:fldCharType="separate"/>
      </w:r>
      <w:r>
        <w:rPr>
          <w:rFonts w:ascii="Times New Roman" w:hAnsi="Times New Roman" w:eastAsia="仿宋_GB2312"/>
          <w:sz w:val="28"/>
          <w:szCs w:val="28"/>
        </w:rPr>
        <w:t>4.4毕业生对学校人才培养满意度的评价</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_Toc390 </w:instrText>
      </w:r>
      <w:r>
        <w:rPr>
          <w:rFonts w:ascii="Times New Roman" w:hAnsi="Times New Roman"/>
          <w:sz w:val="28"/>
          <w:szCs w:val="28"/>
        </w:rPr>
        <w:fldChar w:fldCharType="separate"/>
      </w:r>
      <w:r>
        <w:rPr>
          <w:rFonts w:ascii="Times New Roman" w:hAnsi="Times New Roman"/>
          <w:sz w:val="28"/>
          <w:szCs w:val="28"/>
        </w:rPr>
        <w:t>27</w:t>
      </w:r>
      <w:r>
        <w:rPr>
          <w:rFonts w:ascii="Times New Roman" w:hAnsi="Times New Roman"/>
          <w:sz w:val="28"/>
          <w:szCs w:val="28"/>
        </w:rPr>
        <w:fldChar w:fldCharType="end"/>
      </w:r>
      <w:r>
        <w:rPr>
          <w:rFonts w:ascii="Times New Roman" w:hAnsi="Times New Roman"/>
          <w:sz w:val="28"/>
          <w:szCs w:val="28"/>
        </w:rPr>
        <w:fldChar w:fldCharType="end"/>
      </w:r>
    </w:p>
    <w:p>
      <w:pPr>
        <w:pStyle w:val="11"/>
        <w:tabs>
          <w:tab w:val="right" w:leader="dot" w:pos="8306"/>
        </w:tabs>
        <w:rPr>
          <w:rFonts w:ascii="Times New Roman" w:hAnsi="Times New Roman"/>
          <w:sz w:val="28"/>
          <w:szCs w:val="28"/>
        </w:rPr>
      </w:pPr>
      <w:r>
        <w:fldChar w:fldCharType="begin"/>
      </w:r>
      <w:r>
        <w:instrText xml:space="preserve"> HYPERLINK \l "_Toc29531" </w:instrText>
      </w:r>
      <w:r>
        <w:fldChar w:fldCharType="separate"/>
      </w:r>
      <w:r>
        <w:rPr>
          <w:rFonts w:ascii="Times New Roman" w:hAnsi="Times New Roman" w:eastAsia="黑体"/>
          <w:kern w:val="0"/>
          <w:sz w:val="28"/>
          <w:szCs w:val="28"/>
        </w:rPr>
        <w:t>第五部分  就业创业工作的主要措施及特点</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_Toc29531 </w:instrText>
      </w:r>
      <w:r>
        <w:rPr>
          <w:rFonts w:ascii="Times New Roman" w:hAnsi="Times New Roman"/>
          <w:sz w:val="28"/>
          <w:szCs w:val="28"/>
        </w:rPr>
        <w:fldChar w:fldCharType="separate"/>
      </w:r>
      <w:r>
        <w:rPr>
          <w:rFonts w:ascii="Times New Roman" w:hAnsi="Times New Roman"/>
          <w:sz w:val="28"/>
          <w:szCs w:val="28"/>
        </w:rPr>
        <w:t>27</w:t>
      </w:r>
      <w:r>
        <w:rPr>
          <w:rFonts w:ascii="Times New Roman" w:hAnsi="Times New Roman"/>
          <w:sz w:val="28"/>
          <w:szCs w:val="28"/>
        </w:rPr>
        <w:fldChar w:fldCharType="end"/>
      </w:r>
      <w:r>
        <w:rPr>
          <w:rFonts w:ascii="Times New Roman" w:hAnsi="Times New Roman"/>
          <w:sz w:val="28"/>
          <w:szCs w:val="28"/>
        </w:rPr>
        <w:fldChar w:fldCharType="end"/>
      </w:r>
    </w:p>
    <w:p>
      <w:pPr>
        <w:pStyle w:val="14"/>
        <w:tabs>
          <w:tab w:val="right" w:leader="dot" w:pos="8306"/>
        </w:tabs>
        <w:rPr>
          <w:rFonts w:ascii="Times New Roman" w:hAnsi="Times New Roman"/>
          <w:sz w:val="28"/>
          <w:szCs w:val="28"/>
        </w:rPr>
      </w:pPr>
      <w:r>
        <w:fldChar w:fldCharType="begin"/>
      </w:r>
      <w:r>
        <w:instrText xml:space="preserve"> HYPERLINK \l "_Toc390" </w:instrText>
      </w:r>
      <w:r>
        <w:fldChar w:fldCharType="separate"/>
      </w:r>
      <w:r>
        <w:rPr>
          <w:rFonts w:hint="eastAsia" w:ascii="Times New Roman" w:hAnsi="Times New Roman" w:eastAsia="仿宋_GB2312"/>
          <w:sz w:val="28"/>
          <w:szCs w:val="28"/>
        </w:rPr>
        <w:t>5</w:t>
      </w:r>
      <w:r>
        <w:rPr>
          <w:rFonts w:ascii="Times New Roman" w:hAnsi="Times New Roman" w:eastAsia="仿宋_GB2312"/>
          <w:sz w:val="28"/>
          <w:szCs w:val="28"/>
        </w:rPr>
        <w:t>.</w:t>
      </w:r>
      <w:r>
        <w:rPr>
          <w:rFonts w:hint="eastAsia" w:ascii="Times New Roman" w:hAnsi="Times New Roman" w:eastAsia="仿宋_GB2312"/>
          <w:sz w:val="28"/>
          <w:szCs w:val="28"/>
        </w:rPr>
        <w:t>1</w:t>
      </w:r>
      <w:r>
        <w:rPr>
          <w:rFonts w:hint="eastAsia" w:ascii="仿宋_GB2312" w:hAnsi="黑体" w:eastAsia="仿宋_GB2312" w:cs="仿宋"/>
          <w:color w:val="000000"/>
          <w:kern w:val="0"/>
          <w:sz w:val="28"/>
          <w:szCs w:val="28"/>
        </w:rPr>
        <w:t>高度重视，</w:t>
      </w:r>
      <w:r>
        <w:rPr>
          <w:rFonts w:hint="eastAsia" w:ascii="仿宋_GB2312" w:hAnsi="黑体" w:eastAsia="仿宋_GB2312" w:cs="仿宋"/>
          <w:color w:val="000000"/>
          <w:sz w:val="28"/>
          <w:szCs w:val="28"/>
        </w:rPr>
        <w:t>认真贯彻落实就业创业</w:t>
      </w:r>
      <w:r>
        <w:rPr>
          <w:rFonts w:hint="eastAsia" w:ascii="仿宋_GB2312" w:hAnsi="Calibri" w:eastAsia="仿宋_GB2312" w:cs="仿宋"/>
          <w:color w:val="000000"/>
          <w:sz w:val="28"/>
          <w:szCs w:val="28"/>
        </w:rPr>
        <w:t>“</w:t>
      </w:r>
      <w:r>
        <w:rPr>
          <w:rFonts w:hint="eastAsia" w:ascii="仿宋_GB2312" w:hAnsi="黑体" w:eastAsia="仿宋_GB2312" w:cs="仿宋"/>
          <w:color w:val="000000"/>
          <w:sz w:val="28"/>
          <w:szCs w:val="28"/>
        </w:rPr>
        <w:t>一把手</w:t>
      </w:r>
      <w:r>
        <w:rPr>
          <w:rFonts w:hint="eastAsia" w:ascii="仿宋_GB2312" w:hAnsi="Calibri" w:eastAsia="仿宋_GB2312" w:cs="仿宋"/>
          <w:color w:val="000000"/>
          <w:sz w:val="28"/>
          <w:szCs w:val="28"/>
        </w:rPr>
        <w:t>”</w:t>
      </w:r>
      <w:r>
        <w:rPr>
          <w:rFonts w:hint="eastAsia" w:ascii="仿宋_GB2312" w:hAnsi="黑体" w:eastAsia="仿宋_GB2312" w:cs="仿宋"/>
          <w:color w:val="000000"/>
          <w:sz w:val="28"/>
          <w:szCs w:val="28"/>
        </w:rPr>
        <w:t>工程</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_Toc390 </w:instrText>
      </w:r>
      <w:r>
        <w:rPr>
          <w:rFonts w:ascii="Times New Roman" w:hAnsi="Times New Roman"/>
          <w:sz w:val="28"/>
          <w:szCs w:val="28"/>
        </w:rPr>
        <w:fldChar w:fldCharType="separate"/>
      </w:r>
      <w:r>
        <w:rPr>
          <w:rFonts w:ascii="Times New Roman" w:hAnsi="Times New Roman"/>
          <w:sz w:val="28"/>
          <w:szCs w:val="28"/>
        </w:rPr>
        <w:t>27</w:t>
      </w:r>
      <w:r>
        <w:rPr>
          <w:rFonts w:ascii="Times New Roman" w:hAnsi="Times New Roman"/>
          <w:sz w:val="28"/>
          <w:szCs w:val="28"/>
        </w:rPr>
        <w:fldChar w:fldCharType="end"/>
      </w:r>
      <w:r>
        <w:rPr>
          <w:rFonts w:ascii="Times New Roman" w:hAnsi="Times New Roman"/>
          <w:sz w:val="28"/>
          <w:szCs w:val="28"/>
        </w:rPr>
        <w:fldChar w:fldCharType="end"/>
      </w:r>
    </w:p>
    <w:p>
      <w:pPr>
        <w:pStyle w:val="14"/>
        <w:tabs>
          <w:tab w:val="right" w:leader="dot" w:pos="8306"/>
        </w:tabs>
        <w:rPr>
          <w:rFonts w:ascii="Times New Roman" w:hAnsi="Times New Roman"/>
          <w:sz w:val="28"/>
          <w:szCs w:val="28"/>
        </w:rPr>
      </w:pPr>
      <w:r>
        <w:fldChar w:fldCharType="begin"/>
      </w:r>
      <w:r>
        <w:instrText xml:space="preserve"> HYPERLINK \l "_Toc390" </w:instrText>
      </w:r>
      <w:r>
        <w:fldChar w:fldCharType="separate"/>
      </w:r>
      <w:r>
        <w:rPr>
          <w:rFonts w:hint="eastAsia" w:ascii="Times New Roman" w:hAnsi="Times New Roman" w:eastAsia="仿宋_GB2312"/>
          <w:sz w:val="28"/>
          <w:szCs w:val="28"/>
        </w:rPr>
        <w:t>5</w:t>
      </w:r>
      <w:r>
        <w:rPr>
          <w:rFonts w:ascii="Times New Roman" w:hAnsi="Times New Roman" w:eastAsia="仿宋_GB2312"/>
          <w:sz w:val="28"/>
          <w:szCs w:val="28"/>
        </w:rPr>
        <w:t>.</w:t>
      </w:r>
      <w:r>
        <w:rPr>
          <w:rFonts w:hint="eastAsia" w:ascii="Times New Roman" w:hAnsi="Times New Roman" w:eastAsia="仿宋_GB2312"/>
          <w:sz w:val="28"/>
          <w:szCs w:val="28"/>
        </w:rPr>
        <w:t>2</w:t>
      </w:r>
      <w:r>
        <w:rPr>
          <w:rFonts w:hint="eastAsia" w:ascii="仿宋_GB2312" w:hAnsi="黑体" w:eastAsia="仿宋_GB2312" w:cs="仿宋"/>
          <w:color w:val="000000"/>
          <w:sz w:val="28"/>
          <w:szCs w:val="28"/>
        </w:rPr>
        <w:t>多措并举，切实把就业创业工作落到实处</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_Toc390 </w:instrText>
      </w:r>
      <w:r>
        <w:rPr>
          <w:rFonts w:ascii="Times New Roman" w:hAnsi="Times New Roman"/>
          <w:sz w:val="28"/>
          <w:szCs w:val="28"/>
        </w:rPr>
        <w:fldChar w:fldCharType="separate"/>
      </w:r>
      <w:r>
        <w:rPr>
          <w:rFonts w:ascii="Times New Roman" w:hAnsi="Times New Roman"/>
          <w:sz w:val="28"/>
          <w:szCs w:val="28"/>
        </w:rPr>
        <w:t>2</w:t>
      </w:r>
      <w:r>
        <w:rPr>
          <w:rFonts w:hint="eastAsia" w:ascii="Times New Roman" w:hAnsi="Times New Roman"/>
          <w:sz w:val="28"/>
          <w:szCs w:val="28"/>
        </w:rPr>
        <w:t>9</w:t>
      </w:r>
      <w:r>
        <w:rPr>
          <w:rFonts w:ascii="Times New Roman" w:hAnsi="Times New Roman"/>
          <w:sz w:val="28"/>
          <w:szCs w:val="28"/>
        </w:rPr>
        <w:fldChar w:fldCharType="end"/>
      </w:r>
      <w:r>
        <w:rPr>
          <w:rFonts w:ascii="Times New Roman" w:hAnsi="Times New Roman"/>
          <w:sz w:val="28"/>
          <w:szCs w:val="28"/>
        </w:rPr>
        <w:fldChar w:fldCharType="end"/>
      </w:r>
    </w:p>
    <w:p>
      <w:pPr>
        <w:pStyle w:val="14"/>
        <w:tabs>
          <w:tab w:val="right" w:leader="dot" w:pos="8306"/>
        </w:tabs>
        <w:rPr>
          <w:rFonts w:ascii="Times New Roman" w:hAnsi="Times New Roman"/>
          <w:sz w:val="28"/>
          <w:szCs w:val="28"/>
        </w:rPr>
      </w:pPr>
      <w:r>
        <w:fldChar w:fldCharType="begin"/>
      </w:r>
      <w:r>
        <w:instrText xml:space="preserve"> HYPERLINK \l "_Toc390" </w:instrText>
      </w:r>
      <w:r>
        <w:fldChar w:fldCharType="separate"/>
      </w:r>
      <w:r>
        <w:rPr>
          <w:rFonts w:hint="eastAsia" w:ascii="Times New Roman" w:hAnsi="Times New Roman" w:eastAsia="仿宋_GB2312"/>
          <w:sz w:val="28"/>
          <w:szCs w:val="28"/>
        </w:rPr>
        <w:t>5</w:t>
      </w:r>
      <w:r>
        <w:rPr>
          <w:rFonts w:ascii="Times New Roman" w:hAnsi="Times New Roman" w:eastAsia="仿宋_GB2312"/>
          <w:sz w:val="28"/>
          <w:szCs w:val="28"/>
        </w:rPr>
        <w:t>.</w:t>
      </w:r>
      <w:r>
        <w:rPr>
          <w:rFonts w:hint="eastAsia" w:ascii="Times New Roman" w:hAnsi="Times New Roman" w:eastAsia="仿宋_GB2312"/>
          <w:sz w:val="28"/>
          <w:szCs w:val="28"/>
        </w:rPr>
        <w:t>3</w:t>
      </w:r>
      <w:r>
        <w:rPr>
          <w:rFonts w:hint="eastAsia" w:ascii="仿宋_GB2312" w:hAnsi="仿宋" w:eastAsia="仿宋_GB2312" w:cs="仿宋"/>
          <w:color w:val="000000"/>
          <w:kern w:val="0"/>
          <w:sz w:val="28"/>
          <w:szCs w:val="28"/>
        </w:rPr>
        <w:t>创新方法，</w:t>
      </w:r>
      <w:r>
        <w:rPr>
          <w:rFonts w:hint="eastAsia" w:ascii="仿宋_GB2312" w:hAnsi="仿宋" w:eastAsia="仿宋_GB2312" w:cs="仿宋"/>
          <w:bCs/>
          <w:color w:val="000000"/>
          <w:kern w:val="0"/>
          <w:sz w:val="28"/>
          <w:szCs w:val="28"/>
        </w:rPr>
        <w:t>确保就业创业工作取得良好效果</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_Toc390 </w:instrText>
      </w:r>
      <w:r>
        <w:rPr>
          <w:rFonts w:ascii="Times New Roman" w:hAnsi="Times New Roman"/>
          <w:sz w:val="28"/>
          <w:szCs w:val="28"/>
        </w:rPr>
        <w:fldChar w:fldCharType="separate"/>
      </w:r>
      <w:r>
        <w:rPr>
          <w:rFonts w:hint="eastAsia" w:ascii="Times New Roman" w:hAnsi="Times New Roman"/>
          <w:sz w:val="28"/>
          <w:szCs w:val="28"/>
        </w:rPr>
        <w:t>34</w:t>
      </w:r>
      <w:r>
        <w:rPr>
          <w:rFonts w:ascii="Times New Roman" w:hAnsi="Times New Roman"/>
          <w:sz w:val="28"/>
          <w:szCs w:val="28"/>
        </w:rPr>
        <w:fldChar w:fldCharType="end"/>
      </w:r>
      <w:r>
        <w:rPr>
          <w:rFonts w:ascii="Times New Roman" w:hAnsi="Times New Roman"/>
          <w:sz w:val="28"/>
          <w:szCs w:val="28"/>
        </w:rPr>
        <w:fldChar w:fldCharType="end"/>
      </w:r>
    </w:p>
    <w:p>
      <w:pPr>
        <w:pStyle w:val="11"/>
        <w:tabs>
          <w:tab w:val="right" w:leader="dot" w:pos="8306"/>
        </w:tabs>
        <w:rPr>
          <w:rFonts w:ascii="Times New Roman" w:hAnsi="Times New Roman"/>
          <w:sz w:val="28"/>
          <w:szCs w:val="28"/>
        </w:rPr>
      </w:pPr>
      <w:r>
        <w:fldChar w:fldCharType="begin"/>
      </w:r>
      <w:r>
        <w:instrText xml:space="preserve"> HYPERLINK \l "_Toc29376" </w:instrText>
      </w:r>
      <w:r>
        <w:fldChar w:fldCharType="separate"/>
      </w:r>
      <w:r>
        <w:rPr>
          <w:rFonts w:ascii="Times New Roman" w:hAnsi="Times New Roman" w:eastAsia="黑体"/>
          <w:kern w:val="0"/>
          <w:sz w:val="28"/>
          <w:szCs w:val="28"/>
        </w:rPr>
        <w:t>第六部分 发展趋势与展望</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_Toc29376 </w:instrText>
      </w:r>
      <w:r>
        <w:rPr>
          <w:rFonts w:ascii="Times New Roman" w:hAnsi="Times New Roman"/>
          <w:sz w:val="28"/>
          <w:szCs w:val="28"/>
        </w:rPr>
        <w:fldChar w:fldCharType="separate"/>
      </w:r>
      <w:r>
        <w:rPr>
          <w:rFonts w:ascii="Times New Roman" w:hAnsi="Times New Roman"/>
          <w:sz w:val="28"/>
          <w:szCs w:val="28"/>
        </w:rPr>
        <w:t>36</w:t>
      </w:r>
      <w:r>
        <w:rPr>
          <w:rFonts w:ascii="Times New Roman" w:hAnsi="Times New Roman"/>
          <w:sz w:val="28"/>
          <w:szCs w:val="28"/>
        </w:rPr>
        <w:fldChar w:fldCharType="end"/>
      </w:r>
      <w:r>
        <w:rPr>
          <w:rFonts w:ascii="Times New Roman" w:hAnsi="Times New Roman"/>
          <w:sz w:val="28"/>
          <w:szCs w:val="28"/>
        </w:rPr>
        <w:fldChar w:fldCharType="end"/>
      </w:r>
    </w:p>
    <w:p>
      <w:pPr>
        <w:pStyle w:val="14"/>
        <w:tabs>
          <w:tab w:val="right" w:leader="dot" w:pos="8306"/>
        </w:tabs>
        <w:rPr>
          <w:rFonts w:ascii="Times New Roman" w:hAnsi="Times New Roman"/>
          <w:sz w:val="28"/>
          <w:szCs w:val="28"/>
        </w:rPr>
      </w:pPr>
      <w:r>
        <w:fldChar w:fldCharType="begin"/>
      </w:r>
      <w:r>
        <w:instrText xml:space="preserve"> HYPERLINK \l "_Toc18900" </w:instrText>
      </w:r>
      <w:r>
        <w:fldChar w:fldCharType="separate"/>
      </w:r>
      <w:r>
        <w:rPr>
          <w:rFonts w:ascii="Times New Roman" w:hAnsi="Times New Roman" w:eastAsia="仿宋_GB2312"/>
          <w:sz w:val="28"/>
          <w:szCs w:val="28"/>
        </w:rPr>
        <w:t>6.1签约单位性质、行业分布优势突出，发展逐步多元化</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_Toc18900 </w:instrText>
      </w:r>
      <w:r>
        <w:rPr>
          <w:rFonts w:ascii="Times New Roman" w:hAnsi="Times New Roman"/>
          <w:sz w:val="28"/>
          <w:szCs w:val="28"/>
        </w:rPr>
        <w:fldChar w:fldCharType="separate"/>
      </w:r>
      <w:r>
        <w:rPr>
          <w:rFonts w:ascii="Times New Roman" w:hAnsi="Times New Roman"/>
          <w:sz w:val="28"/>
          <w:szCs w:val="28"/>
        </w:rPr>
        <w:t>36</w:t>
      </w:r>
      <w:r>
        <w:rPr>
          <w:rFonts w:ascii="Times New Roman" w:hAnsi="Times New Roman"/>
          <w:sz w:val="28"/>
          <w:szCs w:val="28"/>
        </w:rPr>
        <w:fldChar w:fldCharType="end"/>
      </w:r>
      <w:r>
        <w:rPr>
          <w:rFonts w:ascii="Times New Roman" w:hAnsi="Times New Roman"/>
          <w:sz w:val="28"/>
          <w:szCs w:val="28"/>
        </w:rPr>
        <w:fldChar w:fldCharType="end"/>
      </w:r>
    </w:p>
    <w:p>
      <w:pPr>
        <w:pStyle w:val="14"/>
        <w:tabs>
          <w:tab w:val="right" w:leader="dot" w:pos="8306"/>
        </w:tabs>
        <w:rPr>
          <w:rFonts w:ascii="Times New Roman" w:hAnsi="Times New Roman"/>
          <w:sz w:val="28"/>
          <w:szCs w:val="28"/>
        </w:rPr>
      </w:pPr>
      <w:r>
        <w:fldChar w:fldCharType="begin"/>
      </w:r>
      <w:r>
        <w:instrText xml:space="preserve"> HYPERLINK \l "_Toc2302" </w:instrText>
      </w:r>
      <w:r>
        <w:fldChar w:fldCharType="separate"/>
      </w:r>
      <w:r>
        <w:rPr>
          <w:rFonts w:ascii="Times New Roman" w:hAnsi="Times New Roman" w:eastAsia="仿宋_GB2312"/>
          <w:sz w:val="28"/>
          <w:szCs w:val="28"/>
        </w:rPr>
        <w:t>6.2就业地域日趋广泛</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_Toc2302 </w:instrText>
      </w:r>
      <w:r>
        <w:rPr>
          <w:rFonts w:ascii="Times New Roman" w:hAnsi="Times New Roman"/>
          <w:sz w:val="28"/>
          <w:szCs w:val="28"/>
        </w:rPr>
        <w:fldChar w:fldCharType="separate"/>
      </w:r>
      <w:r>
        <w:rPr>
          <w:rFonts w:ascii="Times New Roman" w:hAnsi="Times New Roman"/>
          <w:sz w:val="28"/>
          <w:szCs w:val="28"/>
        </w:rPr>
        <w:t>36</w:t>
      </w:r>
      <w:r>
        <w:rPr>
          <w:rFonts w:ascii="Times New Roman" w:hAnsi="Times New Roman"/>
          <w:sz w:val="28"/>
          <w:szCs w:val="28"/>
        </w:rPr>
        <w:fldChar w:fldCharType="end"/>
      </w:r>
      <w:r>
        <w:rPr>
          <w:rFonts w:ascii="Times New Roman" w:hAnsi="Times New Roman"/>
          <w:sz w:val="28"/>
          <w:szCs w:val="28"/>
        </w:rPr>
        <w:fldChar w:fldCharType="end"/>
      </w:r>
    </w:p>
    <w:p>
      <w:pPr>
        <w:pStyle w:val="14"/>
        <w:tabs>
          <w:tab w:val="right" w:leader="dot" w:pos="8306"/>
        </w:tabs>
        <w:rPr>
          <w:rFonts w:ascii="Times New Roman" w:hAnsi="Times New Roman"/>
          <w:sz w:val="28"/>
          <w:szCs w:val="28"/>
        </w:rPr>
      </w:pPr>
      <w:r>
        <w:fldChar w:fldCharType="begin"/>
      </w:r>
      <w:r>
        <w:instrText xml:space="preserve"> HYPERLINK \l "_Toc29119" </w:instrText>
      </w:r>
      <w:r>
        <w:fldChar w:fldCharType="separate"/>
      </w:r>
      <w:r>
        <w:rPr>
          <w:rFonts w:ascii="Times New Roman" w:hAnsi="Times New Roman" w:eastAsia="仿宋_GB2312"/>
          <w:sz w:val="28"/>
          <w:szCs w:val="28"/>
        </w:rPr>
        <w:t>6.3升学率逐年增高，升入高校质量稳步提升</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_Toc29119 </w:instrText>
      </w:r>
      <w:r>
        <w:rPr>
          <w:rFonts w:ascii="Times New Roman" w:hAnsi="Times New Roman"/>
          <w:sz w:val="28"/>
          <w:szCs w:val="28"/>
        </w:rPr>
        <w:fldChar w:fldCharType="separate"/>
      </w:r>
      <w:r>
        <w:rPr>
          <w:rFonts w:ascii="Times New Roman" w:hAnsi="Times New Roman"/>
          <w:sz w:val="28"/>
          <w:szCs w:val="28"/>
        </w:rPr>
        <w:t>37</w:t>
      </w:r>
      <w:r>
        <w:rPr>
          <w:rFonts w:ascii="Times New Roman" w:hAnsi="Times New Roman"/>
          <w:sz w:val="28"/>
          <w:szCs w:val="28"/>
        </w:rPr>
        <w:fldChar w:fldCharType="end"/>
      </w:r>
      <w:r>
        <w:rPr>
          <w:rFonts w:ascii="Times New Roman" w:hAnsi="Times New Roman"/>
          <w:sz w:val="28"/>
          <w:szCs w:val="28"/>
        </w:rPr>
        <w:fldChar w:fldCharType="end"/>
      </w:r>
    </w:p>
    <w:p>
      <w:pPr>
        <w:pStyle w:val="14"/>
        <w:tabs>
          <w:tab w:val="right" w:leader="dot" w:pos="8306"/>
        </w:tabs>
        <w:rPr>
          <w:rFonts w:ascii="Times New Roman" w:hAnsi="Times New Roman"/>
          <w:sz w:val="28"/>
          <w:szCs w:val="28"/>
        </w:rPr>
      </w:pPr>
      <w:r>
        <w:fldChar w:fldCharType="begin"/>
      </w:r>
      <w:r>
        <w:instrText xml:space="preserve"> HYPERLINK \l "_Toc10865" </w:instrText>
      </w:r>
      <w:r>
        <w:fldChar w:fldCharType="separate"/>
      </w:r>
      <w:r>
        <w:rPr>
          <w:rFonts w:ascii="Times New Roman" w:hAnsi="Times New Roman" w:eastAsia="仿宋_GB2312"/>
          <w:sz w:val="28"/>
          <w:szCs w:val="28"/>
        </w:rPr>
        <w:t>6.4 创新创业工作全面铺开，成效显著</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_Toc10865 </w:instrText>
      </w:r>
      <w:r>
        <w:rPr>
          <w:rFonts w:ascii="Times New Roman" w:hAnsi="Times New Roman"/>
          <w:sz w:val="28"/>
          <w:szCs w:val="28"/>
        </w:rPr>
        <w:fldChar w:fldCharType="separate"/>
      </w:r>
      <w:r>
        <w:rPr>
          <w:rFonts w:ascii="Times New Roman" w:hAnsi="Times New Roman"/>
          <w:sz w:val="28"/>
          <w:szCs w:val="28"/>
        </w:rPr>
        <w:t>38</w:t>
      </w:r>
      <w:r>
        <w:rPr>
          <w:rFonts w:ascii="Times New Roman" w:hAnsi="Times New Roman"/>
          <w:sz w:val="28"/>
          <w:szCs w:val="28"/>
        </w:rPr>
        <w:fldChar w:fldCharType="end"/>
      </w:r>
      <w:r>
        <w:rPr>
          <w:rFonts w:ascii="Times New Roman" w:hAnsi="Times New Roman"/>
          <w:sz w:val="28"/>
          <w:szCs w:val="28"/>
        </w:rPr>
        <w:fldChar w:fldCharType="end"/>
      </w:r>
    </w:p>
    <w:p>
      <w:pPr>
        <w:autoSpaceDE w:val="0"/>
        <w:autoSpaceDN w:val="0"/>
        <w:adjustRightInd w:val="0"/>
        <w:jc w:val="center"/>
        <w:outlineLvl w:val="2"/>
        <w:rPr>
          <w:rFonts w:ascii="黑体" w:hAnsi="黑体" w:eastAsia="黑体" w:cs="宋体"/>
          <w:color w:val="000000"/>
          <w:kern w:val="0"/>
          <w:szCs w:val="28"/>
        </w:rPr>
      </w:pPr>
      <w:r>
        <w:rPr>
          <w:rFonts w:ascii="Times New Roman" w:hAnsi="Times New Roman" w:eastAsia="黑体"/>
          <w:color w:val="000000"/>
          <w:kern w:val="0"/>
          <w:szCs w:val="28"/>
        </w:rPr>
        <w:fldChar w:fldCharType="end"/>
      </w:r>
    </w:p>
    <w:p>
      <w:pPr>
        <w:autoSpaceDE w:val="0"/>
        <w:autoSpaceDN w:val="0"/>
        <w:adjustRightInd w:val="0"/>
        <w:jc w:val="center"/>
        <w:outlineLvl w:val="2"/>
        <w:rPr>
          <w:rFonts w:ascii="黑体" w:hAnsi="黑体" w:eastAsia="黑体"/>
          <w:b/>
          <w:color w:val="1F497D"/>
          <w:sz w:val="36"/>
          <w:szCs w:val="36"/>
        </w:rPr>
        <w:sectPr>
          <w:headerReference r:id="rId4" w:type="default"/>
          <w:footerReference r:id="rId5" w:type="default"/>
          <w:pgSz w:w="11906" w:h="16838"/>
          <w:pgMar w:top="1701" w:right="1800" w:bottom="1440" w:left="1800" w:header="851" w:footer="992" w:gutter="0"/>
          <w:pgNumType w:start="1" w:chapStyle="1"/>
          <w:cols w:space="720" w:num="1"/>
          <w:docGrid w:type="lines" w:linePitch="312" w:charSpace="0"/>
        </w:sectPr>
      </w:pPr>
    </w:p>
    <w:p>
      <w:pPr>
        <w:autoSpaceDE w:val="0"/>
        <w:autoSpaceDN w:val="0"/>
        <w:adjustRightInd w:val="0"/>
        <w:jc w:val="center"/>
        <w:outlineLvl w:val="2"/>
        <w:rPr>
          <w:rFonts w:ascii="黑体" w:hAnsi="黑体" w:eastAsia="黑体"/>
          <w:b/>
          <w:color w:val="1F497D"/>
          <w:sz w:val="36"/>
          <w:szCs w:val="36"/>
        </w:rPr>
      </w:pPr>
      <w:bookmarkStart w:id="0" w:name="_Toc9129"/>
      <w:r>
        <w:rPr>
          <w:rFonts w:hint="eastAsia" w:ascii="黑体" w:hAnsi="黑体" w:eastAsia="黑体"/>
          <w:b/>
          <w:color w:val="1F497D"/>
          <w:sz w:val="36"/>
          <w:szCs w:val="36"/>
        </w:rPr>
        <w:t>湖南财政经济学院</w:t>
      </w:r>
      <w:r>
        <w:rPr>
          <w:rFonts w:ascii="黑体" w:hAnsi="黑体" w:eastAsia="黑体"/>
          <w:b/>
          <w:color w:val="1F497D"/>
          <w:sz w:val="36"/>
          <w:szCs w:val="36"/>
        </w:rPr>
        <w:t>2</w:t>
      </w:r>
      <w:r>
        <w:rPr>
          <w:rFonts w:hint="eastAsia" w:ascii="黑体" w:hAnsi="黑体" w:eastAsia="黑体"/>
          <w:b/>
          <w:color w:val="1F497D"/>
          <w:sz w:val="36"/>
          <w:szCs w:val="36"/>
        </w:rPr>
        <w:t>019年毕业生就业质量报告</w:t>
      </w:r>
      <w:bookmarkEnd w:id="0"/>
    </w:p>
    <w:p>
      <w:pPr>
        <w:pStyle w:val="2"/>
        <w:jc w:val="center"/>
        <w:rPr>
          <w:rFonts w:ascii="黑体" w:hAnsi="黑体" w:eastAsia="黑体"/>
          <w:b w:val="0"/>
          <w:color w:val="1F497D"/>
          <w:kern w:val="0"/>
          <w:sz w:val="32"/>
          <w:szCs w:val="32"/>
        </w:rPr>
      </w:pPr>
      <w:bookmarkStart w:id="1" w:name="_Toc437501599"/>
      <w:bookmarkStart w:id="2" w:name="_Toc405988241"/>
      <w:bookmarkStart w:id="3" w:name="_Toc3725"/>
      <w:bookmarkStart w:id="4" w:name="_Toc21083"/>
      <w:bookmarkStart w:id="5" w:name="_Toc437032024"/>
      <w:r>
        <w:rPr>
          <w:rFonts w:hint="eastAsia" w:ascii="黑体" w:hAnsi="黑体" w:eastAsia="黑体"/>
          <w:color w:val="1F497D"/>
          <w:kern w:val="0"/>
          <w:sz w:val="32"/>
          <w:szCs w:val="32"/>
        </w:rPr>
        <w:t>前</w:t>
      </w:r>
      <w:r>
        <w:rPr>
          <w:rFonts w:ascii="黑体" w:hAnsi="黑体" w:eastAsia="黑体"/>
          <w:color w:val="1F497D"/>
          <w:kern w:val="0"/>
          <w:sz w:val="32"/>
          <w:szCs w:val="32"/>
        </w:rPr>
        <w:t xml:space="preserve">  </w:t>
      </w:r>
      <w:r>
        <w:rPr>
          <w:rFonts w:hint="eastAsia" w:ascii="黑体" w:hAnsi="黑体" w:eastAsia="黑体"/>
          <w:color w:val="1F497D"/>
          <w:kern w:val="0"/>
          <w:sz w:val="32"/>
          <w:szCs w:val="32"/>
        </w:rPr>
        <w:t>言</w:t>
      </w:r>
      <w:bookmarkEnd w:id="1"/>
      <w:bookmarkEnd w:id="2"/>
      <w:bookmarkEnd w:id="3"/>
      <w:bookmarkEnd w:id="4"/>
      <w:bookmarkEnd w:id="5"/>
    </w:p>
    <w:p>
      <w:pPr>
        <w:spacing w:line="600" w:lineRule="exact"/>
        <w:ind w:firstLine="700" w:firstLineChars="250"/>
        <w:rPr>
          <w:rFonts w:ascii="仿宋" w:hAnsi="仿宋" w:eastAsia="仿宋"/>
          <w:color w:val="000000"/>
          <w:kern w:val="0"/>
          <w:sz w:val="28"/>
          <w:szCs w:val="28"/>
        </w:rPr>
      </w:pPr>
      <w:r>
        <w:rPr>
          <w:rFonts w:hint="eastAsia" w:ascii="仿宋" w:hAnsi="仿宋" w:eastAsia="仿宋"/>
          <w:color w:val="000000"/>
          <w:kern w:val="0"/>
          <w:sz w:val="28"/>
          <w:szCs w:val="28"/>
        </w:rPr>
        <w:t>湖南财政经济学院是一所以经济、管理学科为主体的省属公办全日制普通本科院校。</w:t>
      </w:r>
      <w:r>
        <w:rPr>
          <w:rFonts w:hint="eastAsia" w:ascii="仿宋" w:hAnsi="仿宋" w:eastAsia="仿宋"/>
          <w:color w:val="000000"/>
          <w:sz w:val="28"/>
          <w:szCs w:val="28"/>
        </w:rPr>
        <w:t>设有会计学院、财政金融学院、工商管理学院、信息技术与管理学院、公共管理学院、外国语学院、工程管理学院、经济学院、马克思主义学院、人文与艺术学院、数学与统计学院、体育学院、厚生国际教育学院、继续教育学院等14个二级学院，开设有会计学、财务管理、审计学、财政学、金融学、税收学、投资学、商务经济学、市场营销、国际经济与贸易、国际商务、物流管理、计算机科学与技术、信息管理与信息系统、电子信息工程、电子商务、人力资源管理、行政管理、劳动与社会保障、英语、日语、翻译、商务英语、工程管理、土地资源管理、房地产开发与管理、工程造价、网络与新媒体、金融数学、数据科学与大数据技术、法学、文化产业管理、旅游管理、休闲体育、会计学（中外合作办学）等35个本科专业，基本形成了能够适应地方经济社会发展需要，以经济类、管理类等应用型专业为主的专业布局。</w:t>
      </w:r>
    </w:p>
    <w:p>
      <w:pPr>
        <w:pStyle w:val="15"/>
        <w:spacing w:before="0" w:beforeAutospacing="0" w:after="0" w:afterAutospacing="0"/>
        <w:ind w:firstLine="560" w:firstLineChars="200"/>
        <w:rPr>
          <w:rFonts w:ascii="仿宋_GB2312" w:hAnsi="仿宋" w:eastAsia="仿宋_GB2312" w:cs="Times New Roman"/>
          <w:color w:val="000000"/>
          <w:sz w:val="28"/>
          <w:szCs w:val="28"/>
        </w:rPr>
      </w:pPr>
      <w:r>
        <w:rPr>
          <w:rFonts w:hint="eastAsia" w:ascii="仿宋" w:hAnsi="仿宋" w:eastAsia="仿宋" w:cs="Times New Roman"/>
          <w:color w:val="000000"/>
          <w:sz w:val="28"/>
          <w:szCs w:val="28"/>
        </w:rPr>
        <w:t>学校一直重视毕业生就业创业工作，认真贯彻落实教育部、湖南省关于大学生就业创新创业工作的精神和要求，以学生的全面发展为目标，加强就业指导，拓展就业市场，加大实习实训和创新创业教育，优化服务质量，努力促进毕业生在适合自身发展的路径上充分、高质量就业。学校自建校以来，为社会培养了大批财经类优秀人才，学生</w:t>
      </w:r>
      <w:r>
        <w:rPr>
          <w:rFonts w:hint="eastAsia" w:ascii="仿宋_GB2312" w:hAnsi="仿宋" w:eastAsia="仿宋_GB2312" w:cs="Times New Roman"/>
          <w:color w:val="000000"/>
          <w:sz w:val="28"/>
          <w:szCs w:val="28"/>
        </w:rPr>
        <w:t>动手能力，创新能力受到用人单位的一致好评。从这里步入社会的历届毕业生，凭借过硬的思想素质、强烈的报国热情、扎实的专业基础和顽强的拼搏精神，逐步成为财政、税务、工商、企业等各行各业的领军人物或业务骨干，为学校赢得了良好的社会声誉。</w:t>
      </w:r>
    </w:p>
    <w:p>
      <w:pPr>
        <w:ind w:firstLine="560" w:firstLineChars="200"/>
        <w:rPr>
          <w:rFonts w:ascii="仿宋_GB2312" w:hAnsi="仿宋" w:eastAsia="仿宋_GB2312"/>
          <w:color w:val="000000"/>
          <w:sz w:val="28"/>
          <w:szCs w:val="28"/>
        </w:rPr>
      </w:pPr>
      <w:r>
        <w:rPr>
          <w:rFonts w:hint="eastAsia" w:ascii="仿宋_GB2312" w:hAnsi="仿宋" w:eastAsia="仿宋_GB2312"/>
          <w:color w:val="000000"/>
          <w:sz w:val="28"/>
          <w:szCs w:val="28"/>
        </w:rPr>
        <w:t>自2013年来学校每年编写年度毕业生就业质量报告，今年根据教育部统一要求，编写了《湖南财政经济学院2019</w:t>
      </w:r>
      <w:r>
        <w:rPr>
          <w:rFonts w:hint="eastAsia" w:ascii="仿宋_GB2312" w:hAnsi="仿宋" w:eastAsia="仿宋_GB2312"/>
          <w:color w:val="000000"/>
          <w:sz w:val="28"/>
          <w:szCs w:val="28"/>
          <w:lang w:eastAsia="zh-CN"/>
        </w:rPr>
        <w:t>年</w:t>
      </w:r>
      <w:bookmarkStart w:id="107" w:name="_GoBack"/>
      <w:bookmarkEnd w:id="107"/>
      <w:r>
        <w:rPr>
          <w:rFonts w:hint="eastAsia" w:ascii="仿宋_GB2312" w:hAnsi="仿宋" w:eastAsia="仿宋_GB2312"/>
          <w:color w:val="000000"/>
          <w:sz w:val="28"/>
          <w:szCs w:val="28"/>
        </w:rPr>
        <w:t>毕业生就业质量报告》。本报告分为六个部分，分别对毕业生基本情况、毕业生就业状况、就业相关分析、就业对教育教学的反馈、就业创业工作的主要措施及特点、发展趋势与展望等进行了统计和分析。本报告数据统计截止时间为2019年8月31日，除单独注明出处的数据之外，其余未做标注的数据均源于湖南财政经济学院就业信息管理系统。</w:t>
      </w:r>
    </w:p>
    <w:p>
      <w:pPr>
        <w:widowControl/>
        <w:jc w:val="center"/>
        <w:outlineLvl w:val="0"/>
        <w:rPr>
          <w:rFonts w:ascii="仿宋" w:hAnsi="仿宋" w:eastAsia="仿宋"/>
          <w:b/>
          <w:color w:val="000000"/>
          <w:kern w:val="0"/>
          <w:sz w:val="28"/>
          <w:szCs w:val="28"/>
        </w:rPr>
      </w:pPr>
      <w:bookmarkStart w:id="6" w:name="_Toc14912"/>
    </w:p>
    <w:p>
      <w:pPr>
        <w:widowControl/>
        <w:jc w:val="center"/>
        <w:outlineLvl w:val="0"/>
        <w:rPr>
          <w:rFonts w:ascii="仿宋" w:hAnsi="仿宋" w:eastAsia="仿宋"/>
          <w:b/>
          <w:color w:val="000000"/>
          <w:kern w:val="0"/>
          <w:sz w:val="28"/>
          <w:szCs w:val="28"/>
        </w:rPr>
      </w:pPr>
    </w:p>
    <w:p>
      <w:pPr>
        <w:widowControl/>
        <w:jc w:val="center"/>
        <w:outlineLvl w:val="0"/>
        <w:rPr>
          <w:rFonts w:ascii="仿宋" w:hAnsi="仿宋" w:eastAsia="仿宋"/>
          <w:b/>
          <w:color w:val="000000"/>
          <w:kern w:val="0"/>
          <w:sz w:val="28"/>
          <w:szCs w:val="28"/>
        </w:rPr>
      </w:pPr>
    </w:p>
    <w:p>
      <w:pPr>
        <w:widowControl/>
        <w:jc w:val="center"/>
        <w:outlineLvl w:val="0"/>
        <w:rPr>
          <w:rFonts w:ascii="仿宋" w:hAnsi="仿宋" w:eastAsia="仿宋"/>
          <w:b/>
          <w:color w:val="000000"/>
          <w:kern w:val="0"/>
          <w:sz w:val="28"/>
          <w:szCs w:val="28"/>
        </w:rPr>
      </w:pPr>
    </w:p>
    <w:p>
      <w:pPr>
        <w:widowControl/>
        <w:jc w:val="center"/>
        <w:outlineLvl w:val="0"/>
        <w:rPr>
          <w:rFonts w:ascii="黑体" w:hAnsi="黑体" w:eastAsia="黑体"/>
          <w:b/>
          <w:color w:val="0070C0"/>
          <w:kern w:val="0"/>
          <w:sz w:val="32"/>
          <w:szCs w:val="32"/>
        </w:rPr>
      </w:pPr>
    </w:p>
    <w:p>
      <w:pPr>
        <w:widowControl/>
        <w:jc w:val="center"/>
        <w:outlineLvl w:val="0"/>
        <w:rPr>
          <w:rFonts w:ascii="黑体" w:hAnsi="黑体" w:eastAsia="黑体"/>
          <w:b/>
          <w:color w:val="0070C0"/>
          <w:kern w:val="0"/>
          <w:sz w:val="32"/>
          <w:szCs w:val="32"/>
        </w:rPr>
      </w:pPr>
    </w:p>
    <w:p>
      <w:pPr>
        <w:widowControl/>
        <w:jc w:val="center"/>
        <w:outlineLvl w:val="0"/>
        <w:rPr>
          <w:rFonts w:ascii="黑体" w:hAnsi="黑体" w:eastAsia="黑体"/>
          <w:b/>
          <w:color w:val="0070C0"/>
          <w:kern w:val="0"/>
          <w:sz w:val="32"/>
          <w:szCs w:val="32"/>
        </w:rPr>
      </w:pPr>
    </w:p>
    <w:p>
      <w:pPr>
        <w:widowControl/>
        <w:jc w:val="center"/>
        <w:outlineLvl w:val="0"/>
        <w:rPr>
          <w:rFonts w:ascii="黑体" w:hAnsi="黑体" w:eastAsia="黑体"/>
          <w:b/>
          <w:color w:val="0070C0"/>
          <w:kern w:val="0"/>
          <w:sz w:val="32"/>
          <w:szCs w:val="32"/>
        </w:rPr>
      </w:pPr>
    </w:p>
    <w:p>
      <w:pPr>
        <w:widowControl/>
        <w:jc w:val="center"/>
        <w:outlineLvl w:val="0"/>
        <w:rPr>
          <w:rFonts w:ascii="黑体" w:hAnsi="黑体" w:eastAsia="黑体"/>
          <w:b/>
          <w:color w:val="0070C0"/>
          <w:kern w:val="0"/>
          <w:sz w:val="32"/>
          <w:szCs w:val="32"/>
        </w:rPr>
      </w:pPr>
    </w:p>
    <w:p>
      <w:pPr>
        <w:widowControl/>
        <w:jc w:val="center"/>
        <w:outlineLvl w:val="0"/>
        <w:rPr>
          <w:rFonts w:ascii="黑体" w:hAnsi="黑体" w:eastAsia="黑体"/>
          <w:b/>
          <w:color w:val="0070C0"/>
          <w:kern w:val="0"/>
          <w:sz w:val="32"/>
          <w:szCs w:val="32"/>
        </w:rPr>
      </w:pPr>
    </w:p>
    <w:p>
      <w:pPr>
        <w:pStyle w:val="2"/>
        <w:spacing w:before="0" w:afterLines="100" w:line="240" w:lineRule="auto"/>
        <w:jc w:val="center"/>
        <w:rPr>
          <w:rFonts w:ascii="黑体" w:hAnsi="黑体" w:eastAsia="黑体"/>
          <w:b w:val="0"/>
          <w:color w:val="1F497D"/>
          <w:kern w:val="0"/>
          <w:sz w:val="32"/>
          <w:szCs w:val="32"/>
        </w:rPr>
      </w:pPr>
      <w:bookmarkStart w:id="7" w:name="_Toc2949"/>
      <w:r>
        <w:rPr>
          <w:rFonts w:hint="eastAsia" w:ascii="黑体" w:hAnsi="黑体" w:eastAsia="黑体"/>
          <w:color w:val="1F497D"/>
          <w:kern w:val="0"/>
          <w:sz w:val="32"/>
          <w:szCs w:val="32"/>
        </w:rPr>
        <w:t>第一部分</w:t>
      </w:r>
      <w:r>
        <w:rPr>
          <w:rFonts w:ascii="黑体" w:hAnsi="黑体" w:eastAsia="黑体"/>
          <w:color w:val="1F497D"/>
          <w:kern w:val="0"/>
          <w:sz w:val="32"/>
          <w:szCs w:val="32"/>
        </w:rPr>
        <w:t xml:space="preserve">  </w:t>
      </w:r>
      <w:r>
        <w:rPr>
          <w:rFonts w:hint="eastAsia" w:ascii="黑体" w:hAnsi="黑体" w:eastAsia="黑体"/>
          <w:color w:val="1F497D"/>
          <w:kern w:val="0"/>
          <w:sz w:val="32"/>
          <w:szCs w:val="32"/>
        </w:rPr>
        <w:t>毕业生基本情况</w:t>
      </w:r>
      <w:bookmarkEnd w:id="6"/>
      <w:bookmarkEnd w:id="7"/>
    </w:p>
    <w:p>
      <w:pPr>
        <w:pStyle w:val="43"/>
        <w:ind w:firstLine="0" w:firstLineChars="0"/>
        <w:outlineLvl w:val="1"/>
        <w:rPr>
          <w:rFonts w:ascii="仿宋_GB2312" w:eastAsia="仿宋_GB2312"/>
          <w:b/>
          <w:color w:val="1F497D"/>
          <w:sz w:val="32"/>
          <w:szCs w:val="32"/>
        </w:rPr>
      </w:pPr>
      <w:bookmarkStart w:id="8" w:name="_Toc19516"/>
      <w:bookmarkStart w:id="9" w:name="_Toc20095"/>
      <w:r>
        <w:rPr>
          <w:rFonts w:hint="eastAsia" w:ascii="仿宋_GB2312" w:eastAsia="仿宋_GB2312"/>
          <w:b/>
          <w:color w:val="1F497D"/>
          <w:sz w:val="32"/>
          <w:szCs w:val="32"/>
        </w:rPr>
        <w:t>1.1 毕业生总体规模和结构</w:t>
      </w:r>
      <w:bookmarkEnd w:id="8"/>
      <w:bookmarkEnd w:id="9"/>
    </w:p>
    <w:p>
      <w:pPr>
        <w:ind w:firstLine="560" w:firstLineChars="200"/>
        <w:rPr>
          <w:rFonts w:ascii="仿宋_GB2312" w:hAnsi="宋体" w:eastAsia="仿宋_GB2312"/>
          <w:sz w:val="28"/>
          <w:szCs w:val="28"/>
        </w:rPr>
      </w:pPr>
      <w:r>
        <w:rPr>
          <w:rFonts w:hint="eastAsia" w:ascii="仿宋_GB2312" w:hAnsi="宋体" w:eastAsia="仿宋_GB2312"/>
          <w:sz w:val="28"/>
          <w:szCs w:val="28"/>
        </w:rPr>
        <w:t>2019年，学校共有本科毕业生</w:t>
      </w:r>
      <w:r>
        <w:rPr>
          <w:rFonts w:hint="eastAsia" w:ascii="仿宋_GB2312" w:hAnsi="宋体" w:eastAsia="仿宋_GB2312"/>
          <w:color w:val="000000"/>
          <w:sz w:val="28"/>
          <w:szCs w:val="28"/>
        </w:rPr>
        <w:t>2411</w:t>
      </w:r>
      <w:r>
        <w:rPr>
          <w:rFonts w:hint="eastAsia" w:ascii="仿宋_GB2312" w:hAnsi="宋体" w:eastAsia="仿宋_GB2312"/>
          <w:sz w:val="28"/>
          <w:szCs w:val="28"/>
        </w:rPr>
        <w:t>人，分布在会计学院７70人、财政金融学院419人、工商管理学院294人、信息技术与管理学院238人、外国语学院226人、公共管理学院79人、工程管理学院等214人、经济学院171人等8个二级学院，具体情况见图1-1。</w:t>
      </w:r>
    </w:p>
    <w:p>
      <w:pPr>
        <w:jc w:val="center"/>
        <w:rPr>
          <w:rFonts w:ascii="仿宋_GB2312" w:hAnsi="宋体" w:eastAsia="仿宋_GB2312"/>
          <w:b/>
          <w:sz w:val="30"/>
          <w:szCs w:val="30"/>
        </w:rPr>
      </w:pPr>
      <w:r>
        <w:rPr>
          <w:rFonts w:hint="eastAsia" w:ascii="仿宋_GB2312" w:hAnsi="宋体" w:eastAsia="仿宋_GB2312"/>
          <w:b/>
          <w:sz w:val="30"/>
          <w:szCs w:val="30"/>
        </w:rPr>
        <w:t>图1-1  201９届毕业生各二级学院人数分布图</w:t>
      </w:r>
    </w:p>
    <w:p>
      <w:pPr>
        <w:rPr>
          <w:rFonts w:ascii="仿宋_GB2312" w:hAnsi="宋体" w:eastAsia="仿宋_GB2312"/>
          <w:sz w:val="28"/>
          <w:szCs w:val="28"/>
        </w:rPr>
      </w:pPr>
      <w:r>
        <w:rPr>
          <w:rFonts w:ascii="仿宋_GB2312" w:hAnsi="宋体" w:eastAsia="仿宋_GB2312"/>
          <w:sz w:val="28"/>
          <w:szCs w:val="28"/>
        </w:rPr>
        <w:drawing>
          <wp:inline distT="0" distB="0" distL="114300" distR="114300">
            <wp:extent cx="5276850" cy="3448050"/>
            <wp:effectExtent l="4445" t="4445" r="14605" b="14605"/>
            <wp:docPr id="2"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4"/>
        <w:spacing w:before="0" w:after="0" w:line="240" w:lineRule="auto"/>
        <w:rPr>
          <w:rFonts w:ascii="仿宋_GB2312" w:eastAsia="仿宋_GB2312"/>
          <w:b w:val="0"/>
          <w:color w:val="1F497D"/>
          <w:sz w:val="30"/>
          <w:szCs w:val="30"/>
        </w:rPr>
      </w:pPr>
      <w:bookmarkStart w:id="10" w:name="_Toc20903"/>
      <w:bookmarkStart w:id="11" w:name="_Toc12768"/>
      <w:bookmarkStart w:id="12" w:name="_Toc26174"/>
      <w:r>
        <w:rPr>
          <w:rFonts w:hint="eastAsia" w:ascii="仿宋_GB2312" w:eastAsia="仿宋_GB2312"/>
          <w:color w:val="1F497D"/>
          <w:sz w:val="30"/>
          <w:szCs w:val="30"/>
        </w:rPr>
        <w:t>1.1.1 毕业生性别比例</w:t>
      </w:r>
      <w:bookmarkEnd w:id="10"/>
      <w:bookmarkEnd w:id="11"/>
      <w:bookmarkEnd w:id="12"/>
    </w:p>
    <w:p>
      <w:pPr>
        <w:ind w:firstLine="560" w:firstLineChars="200"/>
        <w:rPr>
          <w:rFonts w:ascii="仿宋_GB2312" w:eastAsia="仿宋_GB2312"/>
          <w:sz w:val="28"/>
          <w:szCs w:val="28"/>
        </w:rPr>
      </w:pPr>
      <w:bookmarkStart w:id="13" w:name="_Toc437501603"/>
      <w:bookmarkStart w:id="14" w:name="_Toc437032028"/>
      <w:r>
        <w:rPr>
          <w:rFonts w:hint="eastAsia" w:ascii="仿宋_GB2312" w:eastAsia="仿宋_GB2312"/>
          <w:sz w:val="28"/>
          <w:szCs w:val="28"/>
        </w:rPr>
        <w:t>学校</w:t>
      </w:r>
      <w:r>
        <w:rPr>
          <w:rFonts w:ascii="仿宋_GB2312" w:eastAsia="仿宋_GB2312"/>
          <w:sz w:val="28"/>
          <w:szCs w:val="28"/>
        </w:rPr>
        <w:t>201</w:t>
      </w:r>
      <w:r>
        <w:rPr>
          <w:rFonts w:hint="eastAsia" w:ascii="仿宋_GB2312" w:eastAsia="仿宋_GB2312"/>
          <w:sz w:val="28"/>
          <w:szCs w:val="28"/>
        </w:rPr>
        <w:t>9届毕业生中共有男生577人，占毕业生总人数的23.93</w:t>
      </w:r>
      <w:r>
        <w:rPr>
          <w:rFonts w:ascii="仿宋_GB2312" w:eastAsia="仿宋_GB2312"/>
          <w:sz w:val="28"/>
          <w:szCs w:val="28"/>
        </w:rPr>
        <w:t>%</w:t>
      </w:r>
      <w:r>
        <w:rPr>
          <w:rFonts w:hint="eastAsia" w:ascii="仿宋_GB2312" w:eastAsia="仿宋_GB2312"/>
          <w:sz w:val="28"/>
          <w:szCs w:val="28"/>
        </w:rPr>
        <w:t>；女生1834人，占毕业生总人数76.07</w:t>
      </w:r>
      <w:r>
        <w:rPr>
          <w:rFonts w:ascii="仿宋_GB2312" w:eastAsia="仿宋_GB2312"/>
          <w:sz w:val="28"/>
          <w:szCs w:val="28"/>
        </w:rPr>
        <w:t>%</w:t>
      </w:r>
      <w:r>
        <w:rPr>
          <w:rFonts w:hint="eastAsia" w:ascii="仿宋_GB2312" w:eastAsia="仿宋_GB2312"/>
          <w:sz w:val="28"/>
          <w:szCs w:val="28"/>
        </w:rPr>
        <w:t>，毕业生男女生人数比例情况如图</w:t>
      </w:r>
      <w:r>
        <w:rPr>
          <w:rFonts w:ascii="仿宋_GB2312" w:eastAsia="仿宋_GB2312"/>
          <w:sz w:val="28"/>
          <w:szCs w:val="28"/>
        </w:rPr>
        <w:t>1-</w:t>
      </w:r>
      <w:r>
        <w:rPr>
          <w:rFonts w:hint="eastAsia" w:ascii="仿宋_GB2312" w:eastAsia="仿宋_GB2312"/>
          <w:sz w:val="28"/>
          <w:szCs w:val="28"/>
        </w:rPr>
        <w:t>2所示。</w:t>
      </w:r>
    </w:p>
    <w:p>
      <w:pPr>
        <w:jc w:val="center"/>
        <w:rPr>
          <w:rFonts w:ascii="仿宋_GB2312" w:eastAsia="仿宋_GB2312"/>
          <w:b/>
          <w:sz w:val="28"/>
          <w:szCs w:val="28"/>
        </w:rPr>
      </w:pPr>
    </w:p>
    <w:p>
      <w:pPr>
        <w:jc w:val="center"/>
        <w:rPr>
          <w:rFonts w:ascii="仿宋_GB2312" w:eastAsia="仿宋_GB2312"/>
          <w:b/>
          <w:sz w:val="30"/>
          <w:szCs w:val="30"/>
        </w:rPr>
      </w:pPr>
      <w:r>
        <w:rPr>
          <w:rFonts w:hint="eastAsia" w:ascii="仿宋_GB2312" w:eastAsia="仿宋_GB2312"/>
          <w:b/>
          <w:sz w:val="30"/>
          <w:szCs w:val="30"/>
        </w:rPr>
        <w:t>图</w:t>
      </w:r>
      <w:r>
        <w:rPr>
          <w:rFonts w:ascii="仿宋_GB2312" w:eastAsia="仿宋_GB2312"/>
          <w:b/>
          <w:sz w:val="30"/>
          <w:szCs w:val="30"/>
        </w:rPr>
        <w:t>1-</w:t>
      </w:r>
      <w:r>
        <w:rPr>
          <w:rFonts w:hint="eastAsia" w:ascii="仿宋_GB2312" w:eastAsia="仿宋_GB2312"/>
          <w:b/>
          <w:sz w:val="30"/>
          <w:szCs w:val="30"/>
        </w:rPr>
        <w:t>2</w:t>
      </w:r>
      <w:r>
        <w:rPr>
          <w:rFonts w:ascii="仿宋_GB2312" w:eastAsia="仿宋_GB2312"/>
          <w:b/>
          <w:sz w:val="30"/>
          <w:szCs w:val="30"/>
        </w:rPr>
        <w:t xml:space="preserve">  201</w:t>
      </w:r>
      <w:r>
        <w:rPr>
          <w:rFonts w:hint="eastAsia" w:ascii="仿宋_GB2312" w:eastAsia="仿宋_GB2312"/>
          <w:b/>
          <w:sz w:val="30"/>
          <w:szCs w:val="30"/>
        </w:rPr>
        <w:t>9届本科毕业生男女比例图</w:t>
      </w:r>
    </w:p>
    <w:p>
      <w:pPr>
        <w:jc w:val="center"/>
        <w:rPr>
          <w:rFonts w:ascii="仿宋_GB2312" w:eastAsia="仿宋_GB2312"/>
          <w:b/>
          <w:sz w:val="28"/>
          <w:szCs w:val="28"/>
        </w:rPr>
      </w:pPr>
      <w:r>
        <w:rPr>
          <w:rFonts w:ascii="仿宋_GB2312" w:eastAsia="仿宋_GB2312"/>
          <w:b/>
          <w:sz w:val="28"/>
          <w:szCs w:val="28"/>
        </w:rPr>
        <w:drawing>
          <wp:inline distT="0" distB="0" distL="114300" distR="114300">
            <wp:extent cx="4648200" cy="2876550"/>
            <wp:effectExtent l="4445" t="4445" r="14605" b="14605"/>
            <wp:docPr id="3" name="图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4"/>
        <w:spacing w:before="0" w:after="0"/>
        <w:rPr>
          <w:rFonts w:ascii="仿宋_GB2312" w:eastAsia="仿宋_GB2312"/>
          <w:b w:val="0"/>
          <w:color w:val="1F497D"/>
          <w:sz w:val="30"/>
          <w:szCs w:val="30"/>
        </w:rPr>
      </w:pPr>
      <w:bookmarkStart w:id="15" w:name="_Toc437501605"/>
      <w:bookmarkStart w:id="16" w:name="_Toc437032030"/>
      <w:bookmarkStart w:id="17" w:name="_Toc22882"/>
      <w:bookmarkStart w:id="18" w:name="_Toc1574"/>
      <w:bookmarkStart w:id="19" w:name="_Toc17300"/>
      <w:r>
        <w:rPr>
          <w:rFonts w:hint="eastAsia" w:ascii="仿宋_GB2312" w:eastAsia="仿宋_GB2312"/>
          <w:color w:val="1F497D"/>
          <w:sz w:val="30"/>
          <w:szCs w:val="30"/>
        </w:rPr>
        <w:t>1.1.2 毕业生民族</w:t>
      </w:r>
      <w:bookmarkEnd w:id="15"/>
      <w:bookmarkEnd w:id="16"/>
      <w:r>
        <w:rPr>
          <w:rFonts w:hint="eastAsia" w:ascii="仿宋_GB2312" w:eastAsia="仿宋_GB2312"/>
          <w:color w:val="1F497D"/>
          <w:sz w:val="30"/>
          <w:szCs w:val="30"/>
        </w:rPr>
        <w:t>分布</w:t>
      </w:r>
      <w:bookmarkEnd w:id="17"/>
      <w:bookmarkEnd w:id="18"/>
      <w:bookmarkEnd w:id="19"/>
    </w:p>
    <w:p>
      <w:pPr>
        <w:ind w:firstLine="560" w:firstLineChars="200"/>
        <w:rPr>
          <w:rFonts w:ascii="仿宋_GB2312" w:hAnsi="宋体" w:eastAsia="仿宋_GB2312"/>
          <w:sz w:val="28"/>
          <w:szCs w:val="28"/>
        </w:rPr>
      </w:pPr>
      <w:r>
        <w:rPr>
          <w:rFonts w:hint="eastAsia" w:ascii="仿宋_GB2312" w:eastAsia="仿宋_GB2312"/>
          <w:sz w:val="28"/>
          <w:szCs w:val="28"/>
        </w:rPr>
        <w:t>我校</w:t>
      </w:r>
      <w:r>
        <w:rPr>
          <w:rFonts w:ascii="仿宋_GB2312" w:eastAsia="仿宋_GB2312"/>
          <w:sz w:val="28"/>
          <w:szCs w:val="28"/>
        </w:rPr>
        <w:t>201</w:t>
      </w:r>
      <w:r>
        <w:rPr>
          <w:rFonts w:hint="eastAsia" w:ascii="仿宋_GB2312" w:eastAsia="仿宋_GB2312"/>
          <w:sz w:val="28"/>
          <w:szCs w:val="28"/>
        </w:rPr>
        <w:t>9届毕业生共有少数民族学生186人，占毕业生总人数的7.71%。这些学生共来自</w:t>
      </w:r>
      <w:r>
        <w:rPr>
          <w:rFonts w:ascii="仿宋_GB2312" w:eastAsia="仿宋_GB2312"/>
          <w:sz w:val="28"/>
          <w:szCs w:val="28"/>
        </w:rPr>
        <w:t>1</w:t>
      </w:r>
      <w:r>
        <w:rPr>
          <w:rFonts w:hint="eastAsia" w:ascii="仿宋_GB2312" w:eastAsia="仿宋_GB2312"/>
          <w:sz w:val="28"/>
          <w:szCs w:val="28"/>
        </w:rPr>
        <w:t>7个少数民族，学生人数最多的</w:t>
      </w:r>
      <w:r>
        <w:rPr>
          <w:rFonts w:ascii="仿宋_GB2312" w:eastAsia="仿宋_GB2312"/>
          <w:sz w:val="28"/>
          <w:szCs w:val="28"/>
        </w:rPr>
        <w:t>5</w:t>
      </w:r>
      <w:r>
        <w:rPr>
          <w:rFonts w:hint="eastAsia" w:ascii="仿宋_GB2312" w:eastAsia="仿宋_GB2312"/>
          <w:sz w:val="28"/>
          <w:szCs w:val="28"/>
        </w:rPr>
        <w:t>个少数民族分别是：土家族</w:t>
      </w:r>
      <w:r>
        <w:rPr>
          <w:rFonts w:ascii="仿宋_GB2312" w:eastAsia="仿宋_GB2312"/>
          <w:sz w:val="28"/>
          <w:szCs w:val="28"/>
        </w:rPr>
        <w:t>(</w:t>
      </w:r>
      <w:r>
        <w:rPr>
          <w:rFonts w:hint="eastAsia" w:ascii="仿宋_GB2312" w:eastAsia="仿宋_GB2312"/>
          <w:sz w:val="28"/>
          <w:szCs w:val="28"/>
        </w:rPr>
        <w:t>76人</w:t>
      </w:r>
      <w:r>
        <w:rPr>
          <w:rFonts w:ascii="仿宋_GB2312" w:eastAsia="仿宋_GB2312"/>
          <w:sz w:val="28"/>
          <w:szCs w:val="28"/>
        </w:rPr>
        <w:t>)</w:t>
      </w:r>
      <w:r>
        <w:rPr>
          <w:rFonts w:hint="eastAsia" w:ascii="仿宋_GB2312" w:eastAsia="仿宋_GB2312"/>
          <w:sz w:val="28"/>
          <w:szCs w:val="28"/>
        </w:rPr>
        <w:t>、苗族（34人）、瑶族</w:t>
      </w:r>
      <w:r>
        <w:rPr>
          <w:rFonts w:ascii="仿宋_GB2312" w:eastAsia="仿宋_GB2312"/>
          <w:sz w:val="28"/>
          <w:szCs w:val="28"/>
        </w:rPr>
        <w:t>(</w:t>
      </w:r>
      <w:r>
        <w:rPr>
          <w:rFonts w:hint="eastAsia" w:ascii="仿宋_GB2312" w:eastAsia="仿宋_GB2312"/>
          <w:sz w:val="28"/>
          <w:szCs w:val="28"/>
        </w:rPr>
        <w:t>17人</w:t>
      </w:r>
      <w:r>
        <w:rPr>
          <w:rFonts w:ascii="仿宋_GB2312" w:eastAsia="仿宋_GB2312"/>
          <w:sz w:val="28"/>
          <w:szCs w:val="28"/>
        </w:rPr>
        <w:t>)</w:t>
      </w:r>
      <w:r>
        <w:rPr>
          <w:rFonts w:hint="eastAsia" w:ascii="仿宋_GB2312" w:eastAsia="仿宋_GB2312"/>
          <w:sz w:val="28"/>
          <w:szCs w:val="28"/>
        </w:rPr>
        <w:t>、侗族</w:t>
      </w:r>
      <w:r>
        <w:rPr>
          <w:rFonts w:ascii="仿宋_GB2312" w:eastAsia="仿宋_GB2312"/>
          <w:sz w:val="28"/>
          <w:szCs w:val="28"/>
        </w:rPr>
        <w:t>(</w:t>
      </w:r>
      <w:r>
        <w:rPr>
          <w:rFonts w:hint="eastAsia" w:ascii="仿宋_GB2312" w:eastAsia="仿宋_GB2312"/>
          <w:sz w:val="28"/>
          <w:szCs w:val="28"/>
        </w:rPr>
        <w:t>15人</w:t>
      </w:r>
      <w:r>
        <w:rPr>
          <w:rFonts w:ascii="仿宋_GB2312" w:eastAsia="仿宋_GB2312"/>
          <w:sz w:val="28"/>
          <w:szCs w:val="28"/>
        </w:rPr>
        <w:t>)</w:t>
      </w:r>
      <w:r>
        <w:rPr>
          <w:rFonts w:hint="eastAsia" w:ascii="仿宋_GB2312" w:eastAsia="仿宋_GB2312"/>
          <w:sz w:val="28"/>
          <w:szCs w:val="28"/>
        </w:rPr>
        <w:t>、</w:t>
      </w:r>
      <w:r>
        <w:rPr>
          <w:rFonts w:hint="eastAsia" w:ascii="仿宋_GB2312" w:eastAsia="仿宋_GB2312"/>
          <w:color w:val="000000"/>
          <w:sz w:val="28"/>
          <w:szCs w:val="28"/>
        </w:rPr>
        <w:t>壮族（13人）</w:t>
      </w:r>
      <w:r>
        <w:rPr>
          <w:rFonts w:hint="eastAsia" w:ascii="仿宋_GB2312" w:eastAsia="仿宋_GB2312"/>
          <w:sz w:val="28"/>
          <w:szCs w:val="28"/>
        </w:rPr>
        <w:t>。</w:t>
      </w:r>
      <w:r>
        <w:rPr>
          <w:rFonts w:hint="eastAsia" w:ascii="仿宋_GB2312" w:hAnsi="宋体" w:eastAsia="仿宋_GB2312"/>
          <w:sz w:val="28"/>
          <w:szCs w:val="28"/>
        </w:rPr>
        <w:t>具体情况见图1-3。</w:t>
      </w:r>
    </w:p>
    <w:p>
      <w:pPr>
        <w:jc w:val="center"/>
        <w:rPr>
          <w:rFonts w:ascii="仿宋_GB2312" w:eastAsia="仿宋_GB2312"/>
          <w:b/>
          <w:sz w:val="30"/>
          <w:szCs w:val="30"/>
        </w:rPr>
      </w:pPr>
      <w:r>
        <w:rPr>
          <w:rFonts w:hint="eastAsia" w:ascii="仿宋_GB2312" w:eastAsia="仿宋_GB2312"/>
          <w:b/>
          <w:sz w:val="30"/>
          <w:szCs w:val="30"/>
        </w:rPr>
        <w:t>图</w:t>
      </w:r>
      <w:r>
        <w:rPr>
          <w:rFonts w:ascii="仿宋_GB2312" w:eastAsia="仿宋_GB2312"/>
          <w:b/>
          <w:sz w:val="30"/>
          <w:szCs w:val="30"/>
        </w:rPr>
        <w:t>1-</w:t>
      </w:r>
      <w:r>
        <w:rPr>
          <w:rFonts w:hint="eastAsia" w:ascii="仿宋_GB2312" w:eastAsia="仿宋_GB2312"/>
          <w:b/>
          <w:sz w:val="30"/>
          <w:szCs w:val="30"/>
        </w:rPr>
        <w:t>3</w:t>
      </w:r>
      <w:r>
        <w:rPr>
          <w:rFonts w:ascii="仿宋_GB2312" w:eastAsia="仿宋_GB2312"/>
          <w:b/>
          <w:sz w:val="30"/>
          <w:szCs w:val="30"/>
        </w:rPr>
        <w:t xml:space="preserve">  201</w:t>
      </w:r>
      <w:r>
        <w:rPr>
          <w:rFonts w:hint="eastAsia" w:ascii="仿宋_GB2312" w:eastAsia="仿宋_GB2312"/>
          <w:b/>
          <w:sz w:val="30"/>
          <w:szCs w:val="30"/>
        </w:rPr>
        <w:t>9届毕业生所属民族人数分布图</w:t>
      </w:r>
    </w:p>
    <w:p>
      <w:pPr>
        <w:jc w:val="center"/>
        <w:rPr>
          <w:rFonts w:ascii="仿宋_GB2312" w:eastAsia="仿宋_GB2312"/>
          <w:b/>
          <w:sz w:val="28"/>
          <w:szCs w:val="28"/>
        </w:rPr>
      </w:pPr>
      <w:r>
        <w:rPr>
          <w:rFonts w:ascii="仿宋_GB2312" w:eastAsia="仿宋_GB2312"/>
          <w:b/>
          <w:sz w:val="28"/>
          <w:szCs w:val="28"/>
        </w:rPr>
        <w:drawing>
          <wp:inline distT="0" distB="0" distL="114300" distR="114300">
            <wp:extent cx="4667250" cy="2895600"/>
            <wp:effectExtent l="4445" t="5080" r="14605" b="13970"/>
            <wp:docPr id="4" name="图表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Start w:id="20" w:name="_Toc3822"/>
      <w:bookmarkStart w:id="21" w:name="_Toc27181"/>
    </w:p>
    <w:p>
      <w:pPr>
        <w:pStyle w:val="4"/>
        <w:spacing w:before="0" w:after="0"/>
        <w:rPr>
          <w:rFonts w:ascii="仿宋_GB2312" w:eastAsia="仿宋_GB2312"/>
          <w:b w:val="0"/>
          <w:color w:val="1F497D"/>
          <w:sz w:val="30"/>
          <w:szCs w:val="30"/>
        </w:rPr>
      </w:pPr>
      <w:bookmarkStart w:id="22" w:name="_Toc2074"/>
      <w:r>
        <w:rPr>
          <w:rFonts w:hint="eastAsia" w:ascii="仿宋_GB2312" w:eastAsia="仿宋_GB2312"/>
          <w:color w:val="1F497D"/>
          <w:sz w:val="30"/>
          <w:szCs w:val="30"/>
        </w:rPr>
        <w:t>1.1.3 毕业生生源</w:t>
      </w:r>
      <w:bookmarkEnd w:id="13"/>
      <w:bookmarkEnd w:id="14"/>
      <w:r>
        <w:rPr>
          <w:rFonts w:hint="eastAsia" w:ascii="仿宋_GB2312" w:eastAsia="仿宋_GB2312"/>
          <w:color w:val="1F497D"/>
          <w:sz w:val="30"/>
          <w:szCs w:val="30"/>
        </w:rPr>
        <w:t>地区分布</w:t>
      </w:r>
      <w:bookmarkEnd w:id="20"/>
      <w:bookmarkEnd w:id="21"/>
      <w:bookmarkEnd w:id="22"/>
    </w:p>
    <w:p>
      <w:pPr>
        <w:ind w:firstLine="551" w:firstLineChars="197"/>
        <w:rPr>
          <w:rFonts w:ascii="仿宋_GB2312" w:eastAsia="仿宋_GB2312"/>
          <w:sz w:val="28"/>
          <w:szCs w:val="28"/>
        </w:rPr>
      </w:pPr>
      <w:r>
        <w:rPr>
          <w:rFonts w:ascii="仿宋_GB2312" w:eastAsia="仿宋_GB2312"/>
          <w:sz w:val="28"/>
          <w:szCs w:val="28"/>
        </w:rPr>
        <w:t>201</w:t>
      </w:r>
      <w:r>
        <w:rPr>
          <w:rFonts w:hint="eastAsia" w:ascii="仿宋_GB2312" w:eastAsia="仿宋_GB2312"/>
          <w:sz w:val="28"/>
          <w:szCs w:val="28"/>
        </w:rPr>
        <w:t>9届毕业生生源来自</w:t>
      </w:r>
      <w:r>
        <w:rPr>
          <w:rFonts w:ascii="仿宋_GB2312" w:eastAsia="仿宋_GB2312"/>
          <w:sz w:val="28"/>
          <w:szCs w:val="28"/>
        </w:rPr>
        <w:t>23</w:t>
      </w:r>
      <w:r>
        <w:rPr>
          <w:rFonts w:hint="eastAsia" w:ascii="仿宋_GB2312" w:eastAsia="仿宋_GB2312"/>
          <w:sz w:val="28"/>
          <w:szCs w:val="28"/>
        </w:rPr>
        <w:t>个省(市、自治区)，其中，湖南生源1874人，占毕业生生源总人数77.73</w:t>
      </w:r>
      <w:r>
        <w:rPr>
          <w:rFonts w:ascii="仿宋_GB2312" w:eastAsia="仿宋_GB2312"/>
          <w:sz w:val="28"/>
          <w:szCs w:val="28"/>
        </w:rPr>
        <w:t>%</w:t>
      </w:r>
      <w:r>
        <w:rPr>
          <w:rFonts w:hint="eastAsia" w:ascii="仿宋_GB2312" w:eastAsia="仿宋_GB2312"/>
          <w:sz w:val="28"/>
          <w:szCs w:val="28"/>
        </w:rPr>
        <w:t>，除</w:t>
      </w:r>
      <w:r>
        <w:rPr>
          <w:rFonts w:hint="eastAsia" w:ascii="仿宋_GB2312" w:eastAsia="仿宋_GB2312"/>
          <w:color w:val="000000"/>
          <w:sz w:val="28"/>
          <w:szCs w:val="28"/>
        </w:rPr>
        <w:t>香港特别行政区</w:t>
      </w:r>
      <w:r>
        <w:rPr>
          <w:rFonts w:hint="eastAsia" w:ascii="仿宋_GB2312" w:eastAsia="仿宋_GB2312"/>
          <w:sz w:val="28"/>
          <w:szCs w:val="28"/>
        </w:rPr>
        <w:t>1人（户籍随父母迁移）外，其他省、市、自治区生源人数基本相当，</w:t>
      </w:r>
      <w:r>
        <w:rPr>
          <w:rFonts w:hint="eastAsia" w:ascii="仿宋_GB2312" w:eastAsia="仿宋_GB2312"/>
          <w:color w:val="000000"/>
          <w:sz w:val="28"/>
          <w:szCs w:val="28"/>
        </w:rPr>
        <w:t>具体情况详见图1-4。</w:t>
      </w:r>
    </w:p>
    <w:p>
      <w:pPr>
        <w:jc w:val="center"/>
        <w:rPr>
          <w:rFonts w:ascii="仿宋_GB2312" w:eastAsia="仿宋_GB2312"/>
          <w:b/>
          <w:sz w:val="30"/>
          <w:szCs w:val="30"/>
        </w:rPr>
      </w:pPr>
      <w:r>
        <w:rPr>
          <w:rFonts w:hint="eastAsia" w:ascii="仿宋_GB2312" w:eastAsia="仿宋_GB2312"/>
          <w:b/>
          <w:sz w:val="30"/>
          <w:szCs w:val="30"/>
        </w:rPr>
        <w:t>图</w:t>
      </w:r>
      <w:r>
        <w:rPr>
          <w:rFonts w:ascii="仿宋_GB2312" w:eastAsia="仿宋_GB2312"/>
          <w:b/>
          <w:sz w:val="30"/>
          <w:szCs w:val="30"/>
        </w:rPr>
        <w:t>1-</w:t>
      </w:r>
      <w:r>
        <w:rPr>
          <w:rFonts w:hint="eastAsia" w:ascii="仿宋_GB2312" w:eastAsia="仿宋_GB2312"/>
          <w:b/>
          <w:sz w:val="30"/>
          <w:szCs w:val="30"/>
        </w:rPr>
        <w:t xml:space="preserve">4  </w:t>
      </w:r>
      <w:r>
        <w:rPr>
          <w:rFonts w:ascii="仿宋_GB2312" w:eastAsia="仿宋_GB2312"/>
          <w:b/>
          <w:sz w:val="30"/>
          <w:szCs w:val="30"/>
        </w:rPr>
        <w:t>201</w:t>
      </w:r>
      <w:r>
        <w:rPr>
          <w:rFonts w:hint="eastAsia" w:ascii="仿宋_GB2312" w:eastAsia="仿宋_GB2312"/>
          <w:b/>
          <w:sz w:val="30"/>
          <w:szCs w:val="30"/>
        </w:rPr>
        <w:t>9届毕业生生源人数分布图</w:t>
      </w:r>
    </w:p>
    <w:p>
      <w:pPr>
        <w:jc w:val="center"/>
        <w:rPr>
          <w:rFonts w:ascii="仿宋_GB2312" w:eastAsia="仿宋_GB2312"/>
          <w:b/>
          <w:sz w:val="28"/>
          <w:szCs w:val="28"/>
        </w:rPr>
      </w:pPr>
      <w:r>
        <w:rPr>
          <w:rFonts w:ascii="仿宋_GB2312" w:eastAsia="仿宋_GB2312"/>
          <w:b/>
          <w:sz w:val="28"/>
          <w:szCs w:val="28"/>
        </w:rPr>
        <w:drawing>
          <wp:inline distT="0" distB="0" distL="114300" distR="114300">
            <wp:extent cx="4781550" cy="2933700"/>
            <wp:effectExtent l="5080" t="4445" r="13970" b="14605"/>
            <wp:docPr id="5" name="图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4"/>
        <w:spacing w:before="0" w:after="0"/>
        <w:rPr>
          <w:rFonts w:ascii="仿宋_GB2312" w:eastAsia="仿宋_GB2312"/>
          <w:b w:val="0"/>
          <w:color w:val="1F497D"/>
          <w:sz w:val="30"/>
          <w:szCs w:val="30"/>
        </w:rPr>
      </w:pPr>
      <w:bookmarkStart w:id="23" w:name="_Toc6873"/>
      <w:bookmarkStart w:id="24" w:name="_Toc437501606"/>
      <w:bookmarkStart w:id="25" w:name="_Toc15049"/>
      <w:bookmarkStart w:id="26" w:name="_Toc437032031"/>
      <w:bookmarkStart w:id="27" w:name="_Toc14013"/>
      <w:r>
        <w:rPr>
          <w:rFonts w:hint="eastAsia" w:ascii="仿宋_GB2312" w:eastAsia="仿宋_GB2312"/>
          <w:color w:val="1F497D"/>
          <w:sz w:val="30"/>
          <w:szCs w:val="30"/>
        </w:rPr>
        <w:t>1.1.4 毕业生学科专业结构</w:t>
      </w:r>
      <w:bookmarkEnd w:id="23"/>
      <w:bookmarkEnd w:id="24"/>
      <w:bookmarkEnd w:id="25"/>
      <w:bookmarkEnd w:id="26"/>
      <w:bookmarkEnd w:id="27"/>
    </w:p>
    <w:p>
      <w:pPr>
        <w:ind w:firstLine="560" w:firstLineChars="200"/>
        <w:rPr>
          <w:rFonts w:ascii="仿宋_GB2312" w:hAnsi="Calibri" w:eastAsia="仿宋_GB2312"/>
          <w:sz w:val="28"/>
          <w:szCs w:val="28"/>
        </w:rPr>
      </w:pPr>
      <w:r>
        <w:rPr>
          <w:rFonts w:hint="eastAsia" w:ascii="仿宋_GB2312" w:hAnsi="Calibri" w:eastAsia="仿宋_GB2312"/>
          <w:sz w:val="28"/>
          <w:szCs w:val="28"/>
        </w:rPr>
        <w:t>我校2019届毕业生来自</w:t>
      </w:r>
      <w:r>
        <w:rPr>
          <w:rFonts w:hint="eastAsia" w:ascii="仿宋_GB2312" w:hAnsi="Calibri" w:eastAsia="仿宋_GB2312"/>
          <w:color w:val="000000"/>
          <w:sz w:val="28"/>
          <w:szCs w:val="28"/>
        </w:rPr>
        <w:t>会计学</w:t>
      </w:r>
      <w:r>
        <w:rPr>
          <w:rFonts w:hint="eastAsia" w:ascii="仿宋_GB2312" w:hAnsi="Calibri" w:eastAsia="仿宋_GB2312"/>
          <w:sz w:val="28"/>
          <w:szCs w:val="28"/>
        </w:rPr>
        <w:t>、</w:t>
      </w:r>
      <w:r>
        <w:rPr>
          <w:rFonts w:hint="eastAsia" w:ascii="仿宋_GB2312" w:hAnsi="Calibri" w:eastAsia="仿宋_GB2312"/>
          <w:color w:val="000000"/>
          <w:sz w:val="28"/>
          <w:szCs w:val="28"/>
        </w:rPr>
        <w:t>财务管理</w:t>
      </w:r>
      <w:r>
        <w:rPr>
          <w:rFonts w:hint="eastAsia" w:ascii="仿宋_GB2312" w:hAnsi="Calibri" w:eastAsia="仿宋_GB2312"/>
          <w:sz w:val="28"/>
          <w:szCs w:val="28"/>
        </w:rPr>
        <w:t>、审计、</w:t>
      </w:r>
      <w:r>
        <w:rPr>
          <w:rFonts w:hint="eastAsia" w:ascii="仿宋_GB2312" w:hAnsi="Calibri" w:eastAsia="仿宋_GB2312"/>
          <w:color w:val="000000"/>
          <w:sz w:val="28"/>
          <w:szCs w:val="28"/>
        </w:rPr>
        <w:t>会计电算化</w:t>
      </w:r>
      <w:r>
        <w:rPr>
          <w:rFonts w:hint="eastAsia" w:ascii="仿宋_GB2312" w:hAnsi="Calibri" w:eastAsia="仿宋_GB2312"/>
          <w:sz w:val="28"/>
          <w:szCs w:val="28"/>
        </w:rPr>
        <w:t>、</w:t>
      </w:r>
      <w:r>
        <w:rPr>
          <w:rFonts w:hint="eastAsia" w:ascii="仿宋_GB2312" w:hAnsi="Calibri" w:eastAsia="仿宋_GB2312"/>
          <w:color w:val="000000"/>
          <w:sz w:val="28"/>
          <w:szCs w:val="28"/>
        </w:rPr>
        <w:t>财政学</w:t>
      </w:r>
      <w:r>
        <w:rPr>
          <w:rFonts w:hint="eastAsia" w:ascii="仿宋_GB2312" w:hAnsi="Calibri" w:eastAsia="仿宋_GB2312"/>
          <w:sz w:val="28"/>
          <w:szCs w:val="28"/>
        </w:rPr>
        <w:t>、</w:t>
      </w:r>
      <w:r>
        <w:rPr>
          <w:rFonts w:hint="eastAsia" w:ascii="仿宋_GB2312" w:hAnsi="Calibri" w:eastAsia="仿宋_GB2312"/>
          <w:color w:val="000000"/>
          <w:sz w:val="28"/>
          <w:szCs w:val="28"/>
        </w:rPr>
        <w:t>金融学</w:t>
      </w:r>
      <w:r>
        <w:rPr>
          <w:rFonts w:hint="eastAsia" w:ascii="仿宋_GB2312" w:hAnsi="Calibri" w:eastAsia="仿宋_GB2312"/>
          <w:sz w:val="28"/>
          <w:szCs w:val="28"/>
        </w:rPr>
        <w:t>、税收学、</w:t>
      </w:r>
      <w:r>
        <w:rPr>
          <w:rFonts w:hint="eastAsia" w:ascii="仿宋_GB2312" w:hAnsi="Calibri" w:eastAsia="仿宋_GB2312"/>
          <w:color w:val="000000"/>
          <w:sz w:val="28"/>
          <w:szCs w:val="28"/>
        </w:rPr>
        <w:t>国际经济与贸易</w:t>
      </w:r>
      <w:r>
        <w:rPr>
          <w:rFonts w:hint="eastAsia" w:ascii="仿宋_GB2312" w:hAnsi="Calibri" w:eastAsia="仿宋_GB2312"/>
          <w:sz w:val="28"/>
          <w:szCs w:val="28"/>
        </w:rPr>
        <w:t>、</w:t>
      </w:r>
      <w:r>
        <w:rPr>
          <w:rFonts w:hint="eastAsia" w:ascii="仿宋_GB2312" w:hAnsi="Calibri" w:eastAsia="仿宋_GB2312"/>
          <w:color w:val="000000"/>
          <w:sz w:val="28"/>
          <w:szCs w:val="28"/>
        </w:rPr>
        <w:t>市场营销</w:t>
      </w:r>
      <w:r>
        <w:rPr>
          <w:rFonts w:hint="eastAsia" w:ascii="仿宋_GB2312" w:hAnsi="Calibri" w:eastAsia="仿宋_GB2312"/>
          <w:sz w:val="28"/>
          <w:szCs w:val="28"/>
        </w:rPr>
        <w:t>、国际商务、</w:t>
      </w:r>
      <w:r>
        <w:rPr>
          <w:rFonts w:hint="eastAsia" w:ascii="仿宋_GB2312" w:hAnsi="Calibri" w:eastAsia="仿宋_GB2312"/>
          <w:color w:val="000000"/>
          <w:sz w:val="28"/>
          <w:szCs w:val="28"/>
        </w:rPr>
        <w:t>人力资源管理、行政管理、计算机科学与技术、信息管理与信息系统、</w:t>
      </w:r>
      <w:r>
        <w:rPr>
          <w:rFonts w:hint="eastAsia" w:ascii="仿宋_GB2312" w:hAnsi="Calibri" w:eastAsia="仿宋_GB2312"/>
          <w:sz w:val="28"/>
          <w:szCs w:val="28"/>
        </w:rPr>
        <w:t>电子信息工程、电子商务、</w:t>
      </w:r>
      <w:r>
        <w:rPr>
          <w:rFonts w:hint="eastAsia" w:ascii="仿宋_GB2312" w:hAnsi="Calibri" w:eastAsia="仿宋_GB2312"/>
          <w:color w:val="000000"/>
          <w:sz w:val="28"/>
          <w:szCs w:val="28"/>
        </w:rPr>
        <w:t>英语、日语、翻译、工程管理、土地资源管理、房地产开发与管理、工程造价、投资理财</w:t>
      </w:r>
      <w:r>
        <w:rPr>
          <w:rFonts w:hint="eastAsia" w:ascii="仿宋_GB2312" w:hAnsi="Calibri" w:eastAsia="仿宋_GB2312"/>
          <w:sz w:val="28"/>
          <w:szCs w:val="28"/>
        </w:rPr>
        <w:t>等 24个学科专业门类，</w:t>
      </w:r>
      <w:r>
        <w:rPr>
          <w:rFonts w:hint="eastAsia" w:ascii="仿宋_GB2312" w:hAnsi="Calibri" w:eastAsia="仿宋_GB2312" w:cs="仿宋"/>
          <w:sz w:val="28"/>
          <w:szCs w:val="28"/>
        </w:rPr>
        <w:t>从总体上看，毕业生人数较多的专业集中在会计学（25.67%）、金融学（12.03%）、</w:t>
      </w:r>
      <w:r>
        <w:rPr>
          <w:rFonts w:hint="eastAsia" w:ascii="仿宋_GB2312" w:hAnsi="Calibri" w:eastAsia="仿宋_GB2312" w:cs="宋体"/>
          <w:color w:val="000000"/>
          <w:kern w:val="0"/>
          <w:sz w:val="28"/>
          <w:szCs w:val="28"/>
        </w:rPr>
        <w:t>人力资源管理(</w:t>
      </w:r>
      <w:r>
        <w:rPr>
          <w:rFonts w:hint="eastAsia" w:ascii="仿宋_GB2312" w:hAnsi="Calibri" w:eastAsia="仿宋_GB2312" w:cs="宋体"/>
          <w:color w:val="000000"/>
          <w:sz w:val="28"/>
          <w:szCs w:val="28"/>
        </w:rPr>
        <w:t>5.60%)、</w:t>
      </w:r>
      <w:r>
        <w:rPr>
          <w:rFonts w:hint="eastAsia" w:ascii="仿宋_GB2312" w:hAnsi="Calibri" w:eastAsia="仿宋_GB2312" w:cs="仿宋"/>
          <w:color w:val="000000"/>
          <w:kern w:val="0"/>
          <w:sz w:val="28"/>
          <w:szCs w:val="28"/>
        </w:rPr>
        <w:t>国际经济与贸易</w:t>
      </w:r>
      <w:r>
        <w:rPr>
          <w:rFonts w:hint="eastAsia" w:ascii="仿宋_GB2312" w:hAnsi="Calibri" w:eastAsia="仿宋_GB2312" w:cs="仿宋"/>
          <w:sz w:val="28"/>
          <w:szCs w:val="28"/>
        </w:rPr>
        <w:t>（5.47%）、</w:t>
      </w:r>
      <w:r>
        <w:rPr>
          <w:rFonts w:hint="eastAsia" w:ascii="仿宋_GB2312" w:hAnsi="Calibri" w:eastAsia="仿宋_GB2312" w:cs="仿宋"/>
          <w:color w:val="000000"/>
          <w:kern w:val="0"/>
          <w:sz w:val="28"/>
          <w:szCs w:val="28"/>
        </w:rPr>
        <w:t>市场营销</w:t>
      </w:r>
      <w:r>
        <w:rPr>
          <w:rFonts w:hint="eastAsia" w:ascii="仿宋_GB2312" w:hAnsi="Calibri" w:eastAsia="仿宋_GB2312" w:cs="仿宋"/>
          <w:sz w:val="28"/>
          <w:szCs w:val="28"/>
        </w:rPr>
        <w:t>（4.69%）、工程造价（3.78%），毕业生对应学科专业具体情况见表 1-1</w:t>
      </w:r>
      <w:r>
        <w:rPr>
          <w:rFonts w:hint="eastAsia" w:ascii="仿宋_GB2312" w:hAnsi="Calibri" w:eastAsia="仿宋_GB2312"/>
          <w:sz w:val="28"/>
          <w:szCs w:val="28"/>
        </w:rPr>
        <w:t>。</w:t>
      </w:r>
    </w:p>
    <w:p>
      <w:pPr>
        <w:jc w:val="center"/>
        <w:rPr>
          <w:rFonts w:ascii="仿宋_GB2312" w:eastAsia="仿宋_GB2312"/>
          <w:b/>
          <w:sz w:val="30"/>
          <w:szCs w:val="30"/>
        </w:rPr>
      </w:pPr>
      <w:r>
        <w:rPr>
          <w:rFonts w:hint="eastAsia" w:ascii="仿宋_GB2312" w:eastAsia="仿宋_GB2312"/>
          <w:b/>
          <w:sz w:val="30"/>
          <w:szCs w:val="30"/>
        </w:rPr>
        <w:t>表</w:t>
      </w:r>
      <w:r>
        <w:rPr>
          <w:rFonts w:ascii="仿宋_GB2312" w:eastAsia="仿宋_GB2312"/>
          <w:b/>
          <w:sz w:val="30"/>
          <w:szCs w:val="30"/>
        </w:rPr>
        <w:t>1-</w:t>
      </w:r>
      <w:r>
        <w:rPr>
          <w:rFonts w:hint="eastAsia" w:ascii="仿宋_GB2312" w:eastAsia="仿宋_GB2312"/>
          <w:b/>
          <w:sz w:val="30"/>
          <w:szCs w:val="30"/>
        </w:rPr>
        <w:t>1</w:t>
      </w:r>
      <w:r>
        <w:rPr>
          <w:rFonts w:ascii="仿宋_GB2312" w:eastAsia="仿宋_GB2312"/>
          <w:b/>
          <w:sz w:val="30"/>
          <w:szCs w:val="30"/>
        </w:rPr>
        <w:t xml:space="preserve">  201</w:t>
      </w:r>
      <w:r>
        <w:rPr>
          <w:rFonts w:hint="eastAsia" w:ascii="仿宋_GB2312" w:eastAsia="仿宋_GB2312"/>
          <w:b/>
          <w:sz w:val="30"/>
          <w:szCs w:val="30"/>
        </w:rPr>
        <w:t>9届毕业生对应学科专业人数统计表</w:t>
      </w:r>
    </w:p>
    <w:tbl>
      <w:tblPr>
        <w:tblStyle w:val="16"/>
        <w:tblW w:w="8237" w:type="dxa"/>
        <w:tblInd w:w="0" w:type="dxa"/>
        <w:tblLayout w:type="fixed"/>
        <w:tblCellMar>
          <w:top w:w="15" w:type="dxa"/>
          <w:left w:w="15" w:type="dxa"/>
          <w:bottom w:w="15" w:type="dxa"/>
          <w:right w:w="15" w:type="dxa"/>
        </w:tblCellMar>
      </w:tblPr>
      <w:tblGrid>
        <w:gridCol w:w="1008"/>
        <w:gridCol w:w="3260"/>
        <w:gridCol w:w="1984"/>
        <w:gridCol w:w="1985"/>
      </w:tblGrid>
      <w:tr>
        <w:tblPrEx>
          <w:tblCellMar>
            <w:top w:w="15" w:type="dxa"/>
            <w:left w:w="15" w:type="dxa"/>
            <w:bottom w:w="15" w:type="dxa"/>
            <w:right w:w="15" w:type="dxa"/>
          </w:tblCellMar>
        </w:tblPrEx>
        <w:trPr>
          <w:trHeight w:val="539" w:hRule="atLeast"/>
        </w:trPr>
        <w:tc>
          <w:tcPr>
            <w:tcW w:w="1008" w:type="dxa"/>
            <w:tcBorders>
              <w:top w:val="single" w:color="8064A2" w:sz="8" w:space="0"/>
              <w:left w:val="single" w:color="8064A2" w:sz="8" w:space="0"/>
              <w:bottom w:val="single" w:color="8064A2" w:sz="8" w:space="0"/>
              <w:right w:val="dotted" w:color="auto" w:sz="8" w:space="0"/>
            </w:tcBorders>
            <w:shd w:val="clear" w:color="auto" w:fill="8064A2"/>
            <w:noWrap w:val="0"/>
            <w:vAlign w:val="center"/>
          </w:tcPr>
          <w:p>
            <w:pPr>
              <w:widowControl/>
              <w:jc w:val="center"/>
              <w:textAlignment w:val="center"/>
              <w:rPr>
                <w:rFonts w:ascii="黑体" w:hAnsi="黑体" w:eastAsia="黑体" w:cs="黑体"/>
                <w:b/>
                <w:color w:val="FFFFFF"/>
                <w:sz w:val="28"/>
                <w:szCs w:val="28"/>
              </w:rPr>
            </w:pPr>
            <w:r>
              <w:rPr>
                <w:rFonts w:hint="eastAsia" w:ascii="黑体" w:hAnsi="黑体" w:eastAsia="黑体" w:cs="黑体"/>
                <w:b/>
                <w:color w:val="FFFFFF"/>
                <w:kern w:val="0"/>
                <w:sz w:val="28"/>
                <w:szCs w:val="28"/>
              </w:rPr>
              <w:t>学院</w:t>
            </w:r>
          </w:p>
        </w:tc>
        <w:tc>
          <w:tcPr>
            <w:tcW w:w="3260" w:type="dxa"/>
            <w:tcBorders>
              <w:top w:val="single" w:color="8064A2" w:sz="8" w:space="0"/>
              <w:left w:val="dotted" w:color="auto" w:sz="8" w:space="0"/>
              <w:bottom w:val="single" w:color="8064A2" w:sz="8" w:space="0"/>
              <w:right w:val="dotted" w:color="auto" w:sz="8" w:space="0"/>
            </w:tcBorders>
            <w:shd w:val="clear" w:color="auto" w:fill="8064A2"/>
            <w:noWrap w:val="0"/>
            <w:vAlign w:val="center"/>
          </w:tcPr>
          <w:p>
            <w:pPr>
              <w:widowControl/>
              <w:jc w:val="center"/>
              <w:textAlignment w:val="center"/>
              <w:rPr>
                <w:rFonts w:ascii="黑体" w:hAnsi="黑体" w:eastAsia="黑体" w:cs="黑体"/>
                <w:b/>
                <w:color w:val="FFFFFF"/>
                <w:sz w:val="28"/>
                <w:szCs w:val="28"/>
              </w:rPr>
            </w:pPr>
            <w:r>
              <w:rPr>
                <w:rFonts w:hint="eastAsia" w:ascii="黑体" w:hAnsi="黑体" w:eastAsia="黑体" w:cs="黑体"/>
                <w:b/>
                <w:color w:val="FFFFFF"/>
                <w:kern w:val="0"/>
                <w:sz w:val="28"/>
                <w:szCs w:val="28"/>
              </w:rPr>
              <w:t>专业</w:t>
            </w:r>
          </w:p>
        </w:tc>
        <w:tc>
          <w:tcPr>
            <w:tcW w:w="1984" w:type="dxa"/>
            <w:tcBorders>
              <w:top w:val="single" w:color="8064A2" w:sz="8" w:space="0"/>
              <w:left w:val="dotted" w:color="auto" w:sz="8" w:space="0"/>
              <w:bottom w:val="single" w:color="8064A2" w:sz="8" w:space="0"/>
              <w:right w:val="dotted" w:color="auto" w:sz="8" w:space="0"/>
            </w:tcBorders>
            <w:shd w:val="clear" w:color="auto" w:fill="8064A2"/>
            <w:noWrap w:val="0"/>
            <w:vAlign w:val="center"/>
          </w:tcPr>
          <w:p>
            <w:pPr>
              <w:widowControl/>
              <w:jc w:val="center"/>
              <w:textAlignment w:val="center"/>
              <w:rPr>
                <w:rFonts w:ascii="黑体" w:hAnsi="黑体" w:eastAsia="黑体" w:cs="黑体"/>
                <w:b/>
                <w:color w:val="FFFFFF"/>
                <w:sz w:val="28"/>
                <w:szCs w:val="28"/>
              </w:rPr>
            </w:pPr>
            <w:r>
              <w:rPr>
                <w:rFonts w:hint="eastAsia" w:ascii="黑体" w:hAnsi="黑体" w:eastAsia="黑体" w:cs="黑体"/>
                <w:b/>
                <w:color w:val="FFFFFF"/>
                <w:kern w:val="0"/>
                <w:sz w:val="28"/>
                <w:szCs w:val="28"/>
              </w:rPr>
              <w:t>毕业人数</w:t>
            </w:r>
          </w:p>
        </w:tc>
        <w:tc>
          <w:tcPr>
            <w:tcW w:w="1985" w:type="dxa"/>
            <w:tcBorders>
              <w:top w:val="single" w:color="8064A2" w:sz="8" w:space="0"/>
              <w:left w:val="dotted" w:color="auto" w:sz="8" w:space="0"/>
              <w:bottom w:val="single" w:color="8064A2" w:sz="8" w:space="0"/>
              <w:right w:val="single" w:color="8064A2" w:sz="8" w:space="0"/>
            </w:tcBorders>
            <w:shd w:val="clear" w:color="auto" w:fill="8064A2"/>
            <w:noWrap w:val="0"/>
            <w:vAlign w:val="center"/>
          </w:tcPr>
          <w:p>
            <w:pPr>
              <w:widowControl/>
              <w:jc w:val="center"/>
              <w:textAlignment w:val="center"/>
              <w:rPr>
                <w:rFonts w:ascii="黑体" w:hAnsi="黑体" w:eastAsia="黑体" w:cs="黑体"/>
                <w:b/>
                <w:color w:val="FFFFFF"/>
                <w:sz w:val="28"/>
                <w:szCs w:val="28"/>
              </w:rPr>
            </w:pPr>
            <w:r>
              <w:rPr>
                <w:rFonts w:hint="eastAsia" w:ascii="黑体" w:hAnsi="黑体" w:eastAsia="黑体" w:cs="黑体"/>
                <w:b/>
                <w:color w:val="FFFFFF"/>
                <w:sz w:val="28"/>
                <w:szCs w:val="28"/>
              </w:rPr>
              <w:t>比例</w:t>
            </w:r>
          </w:p>
        </w:tc>
      </w:tr>
      <w:tr>
        <w:tblPrEx>
          <w:tblCellMar>
            <w:top w:w="15" w:type="dxa"/>
            <w:left w:w="15" w:type="dxa"/>
            <w:bottom w:w="15" w:type="dxa"/>
            <w:right w:w="15" w:type="dxa"/>
          </w:tblCellMar>
        </w:tblPrEx>
        <w:trPr>
          <w:trHeight w:val="539" w:hRule="atLeast"/>
        </w:trPr>
        <w:tc>
          <w:tcPr>
            <w:tcW w:w="1008" w:type="dxa"/>
            <w:vMerge w:val="restart"/>
            <w:tcBorders>
              <w:top w:val="single" w:color="8064A2" w:sz="8" w:space="0"/>
              <w:left w:val="single" w:color="8064A2" w:sz="8" w:space="0"/>
              <w:bottom w:val="single" w:color="8064A2" w:sz="8" w:space="0"/>
              <w:right w:val="dotted" w:color="auto" w:sz="8" w:space="0"/>
            </w:tcBorders>
            <w:shd w:val="clear" w:color="auto" w:fill="EDEAF0"/>
            <w:noWrap w:val="0"/>
            <w:textDirection w:val="tbRlV"/>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会计学院</w:t>
            </w:r>
          </w:p>
        </w:tc>
        <w:tc>
          <w:tcPr>
            <w:tcW w:w="3260"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rPr>
              <w:t>会计学</w:t>
            </w:r>
          </w:p>
        </w:tc>
        <w:tc>
          <w:tcPr>
            <w:tcW w:w="1984"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color w:val="000000"/>
                <w:sz w:val="24"/>
                <w:szCs w:val="24"/>
              </w:rPr>
            </w:pPr>
            <w:r>
              <w:rPr>
                <w:rFonts w:hint="eastAsia" w:ascii="仿宋_GB2312" w:hAnsi="宋体" w:eastAsia="仿宋_GB2312" w:cs="宋体"/>
                <w:color w:val="000000"/>
                <w:kern w:val="0"/>
                <w:sz w:val="24"/>
                <w:szCs w:val="24"/>
              </w:rPr>
              <w:t>619</w:t>
            </w:r>
          </w:p>
        </w:tc>
        <w:tc>
          <w:tcPr>
            <w:tcW w:w="1985" w:type="dxa"/>
            <w:tcBorders>
              <w:top w:val="single" w:color="8064A2" w:sz="8" w:space="0"/>
              <w:left w:val="dotted" w:color="auto" w:sz="8" w:space="0"/>
              <w:bottom w:val="single" w:color="8064A2" w:sz="8" w:space="0"/>
              <w:right w:val="single" w:color="8064A2" w:sz="8" w:space="0"/>
            </w:tcBorders>
            <w:shd w:val="clear" w:color="auto" w:fill="EDEAF0"/>
            <w:noWrap w:val="0"/>
            <w:vAlign w:val="center"/>
          </w:tcPr>
          <w:p>
            <w:pPr>
              <w:widowControl/>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sz w:val="24"/>
                <w:szCs w:val="24"/>
              </w:rPr>
              <w:t>25.67%</w:t>
            </w:r>
          </w:p>
        </w:tc>
      </w:tr>
      <w:tr>
        <w:tblPrEx>
          <w:tblCellMar>
            <w:top w:w="15" w:type="dxa"/>
            <w:left w:w="15" w:type="dxa"/>
            <w:bottom w:w="15" w:type="dxa"/>
            <w:right w:w="15" w:type="dxa"/>
          </w:tblCellMar>
        </w:tblPrEx>
        <w:trPr>
          <w:trHeight w:val="539" w:hRule="atLeast"/>
        </w:trPr>
        <w:tc>
          <w:tcPr>
            <w:tcW w:w="1008" w:type="dxa"/>
            <w:vMerge w:val="continue"/>
            <w:tcBorders>
              <w:top w:val="single" w:color="8064A2" w:sz="8" w:space="0"/>
              <w:left w:val="single" w:color="8064A2" w:sz="8" w:space="0"/>
              <w:bottom w:val="single" w:color="8064A2" w:sz="8" w:space="0"/>
              <w:right w:val="dotted" w:color="auto" w:sz="8" w:space="0"/>
            </w:tcBorders>
            <w:shd w:val="clear" w:color="auto" w:fill="FFFFFF"/>
            <w:noWrap w:val="0"/>
            <w:textDirection w:val="tbRlV"/>
            <w:vAlign w:val="center"/>
          </w:tcPr>
          <w:p>
            <w:pPr>
              <w:jc w:val="center"/>
              <w:rPr>
                <w:rFonts w:ascii="宋体" w:hAnsi="宋体" w:eastAsia="宋体" w:cs="宋体"/>
                <w:b/>
                <w:color w:val="000000"/>
                <w:sz w:val="22"/>
              </w:rPr>
            </w:pPr>
          </w:p>
        </w:tc>
        <w:tc>
          <w:tcPr>
            <w:tcW w:w="3260" w:type="dxa"/>
            <w:tcBorders>
              <w:top w:val="single" w:color="8064A2" w:sz="8" w:space="0"/>
              <w:left w:val="dotted" w:color="auto" w:sz="8" w:space="0"/>
              <w:bottom w:val="single" w:color="8064A2" w:sz="8" w:space="0"/>
              <w:right w:val="dotted" w:color="auto" w:sz="8" w:space="0"/>
            </w:tcBorders>
            <w:shd w:val="clear" w:color="auto" w:fill="FFFFFF"/>
            <w:noWrap w:val="0"/>
            <w:vAlign w:val="center"/>
          </w:tcPr>
          <w:p>
            <w:pPr>
              <w:widowControl/>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rPr>
              <w:t>财务管理</w:t>
            </w:r>
          </w:p>
        </w:tc>
        <w:tc>
          <w:tcPr>
            <w:tcW w:w="1984" w:type="dxa"/>
            <w:tcBorders>
              <w:top w:val="single" w:color="8064A2" w:sz="8" w:space="0"/>
              <w:left w:val="dotted" w:color="auto" w:sz="8" w:space="0"/>
              <w:bottom w:val="single" w:color="8064A2" w:sz="8" w:space="0"/>
              <w:right w:val="dotted" w:color="auto" w:sz="8" w:space="0"/>
            </w:tcBorders>
            <w:shd w:val="clear" w:color="auto" w:fill="FFFFFF"/>
            <w:noWrap w:val="0"/>
            <w:vAlign w:val="center"/>
          </w:tcPr>
          <w:p>
            <w:pPr>
              <w:widowControl/>
              <w:jc w:val="center"/>
              <w:textAlignment w:val="center"/>
              <w:rPr>
                <w:rFonts w:ascii="仿宋_GB2312" w:hAnsi="宋体" w:eastAsia="仿宋_GB2312"/>
                <w:color w:val="000000"/>
                <w:sz w:val="24"/>
                <w:szCs w:val="24"/>
              </w:rPr>
            </w:pPr>
            <w:r>
              <w:rPr>
                <w:rFonts w:hint="eastAsia" w:ascii="仿宋_GB2312" w:hAnsi="宋体" w:eastAsia="仿宋_GB2312"/>
                <w:color w:val="000000"/>
                <w:sz w:val="24"/>
                <w:szCs w:val="24"/>
              </w:rPr>
              <w:t>78</w:t>
            </w:r>
          </w:p>
        </w:tc>
        <w:tc>
          <w:tcPr>
            <w:tcW w:w="1985" w:type="dxa"/>
            <w:tcBorders>
              <w:top w:val="single" w:color="8064A2" w:sz="8" w:space="0"/>
              <w:left w:val="dotted" w:color="auto" w:sz="8" w:space="0"/>
              <w:bottom w:val="single" w:color="8064A2" w:sz="8" w:space="0"/>
              <w:right w:val="single" w:color="8064A2" w:sz="8" w:space="0"/>
            </w:tcBorders>
            <w:shd w:val="clear" w:color="auto" w:fill="FFFFFF"/>
            <w:noWrap w:val="0"/>
            <w:vAlign w:val="center"/>
          </w:tcPr>
          <w:p>
            <w:pPr>
              <w:widowControl/>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sz w:val="24"/>
                <w:szCs w:val="24"/>
              </w:rPr>
              <w:t>3.24%</w:t>
            </w:r>
          </w:p>
        </w:tc>
      </w:tr>
      <w:tr>
        <w:tblPrEx>
          <w:tblCellMar>
            <w:top w:w="15" w:type="dxa"/>
            <w:left w:w="15" w:type="dxa"/>
            <w:bottom w:w="15" w:type="dxa"/>
            <w:right w:w="15" w:type="dxa"/>
          </w:tblCellMar>
        </w:tblPrEx>
        <w:trPr>
          <w:trHeight w:val="539" w:hRule="atLeast"/>
        </w:trPr>
        <w:tc>
          <w:tcPr>
            <w:tcW w:w="1008" w:type="dxa"/>
            <w:vMerge w:val="continue"/>
            <w:tcBorders>
              <w:top w:val="single" w:color="8064A2" w:sz="8" w:space="0"/>
              <w:left w:val="single" w:color="8064A2" w:sz="8" w:space="0"/>
              <w:bottom w:val="single" w:color="8064A2" w:sz="8" w:space="0"/>
              <w:right w:val="dotted" w:color="auto" w:sz="8" w:space="0"/>
            </w:tcBorders>
            <w:shd w:val="clear" w:color="auto" w:fill="EDEAF0"/>
            <w:noWrap w:val="0"/>
            <w:textDirection w:val="tbRlV"/>
            <w:vAlign w:val="center"/>
          </w:tcPr>
          <w:p>
            <w:pPr>
              <w:jc w:val="center"/>
              <w:rPr>
                <w:rFonts w:ascii="宋体" w:hAnsi="宋体" w:eastAsia="宋体" w:cs="宋体"/>
                <w:b/>
                <w:color w:val="000000"/>
                <w:sz w:val="22"/>
              </w:rPr>
            </w:pPr>
          </w:p>
        </w:tc>
        <w:tc>
          <w:tcPr>
            <w:tcW w:w="3260"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rPr>
              <w:t>审计学</w:t>
            </w:r>
          </w:p>
        </w:tc>
        <w:tc>
          <w:tcPr>
            <w:tcW w:w="1984"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color w:val="000000"/>
                <w:sz w:val="24"/>
                <w:szCs w:val="24"/>
              </w:rPr>
            </w:pPr>
            <w:r>
              <w:rPr>
                <w:rFonts w:hint="eastAsia" w:ascii="仿宋_GB2312" w:hAnsi="宋体" w:eastAsia="仿宋_GB2312"/>
                <w:color w:val="000000"/>
                <w:sz w:val="24"/>
                <w:szCs w:val="24"/>
              </w:rPr>
              <w:t>73</w:t>
            </w:r>
          </w:p>
        </w:tc>
        <w:tc>
          <w:tcPr>
            <w:tcW w:w="1985" w:type="dxa"/>
            <w:tcBorders>
              <w:top w:val="single" w:color="8064A2" w:sz="8" w:space="0"/>
              <w:left w:val="dotted" w:color="auto" w:sz="8" w:space="0"/>
              <w:bottom w:val="single" w:color="8064A2" w:sz="8" w:space="0"/>
              <w:right w:val="single" w:color="8064A2" w:sz="8" w:space="0"/>
            </w:tcBorders>
            <w:shd w:val="clear" w:color="auto" w:fill="EDEAF0"/>
            <w:noWrap w:val="0"/>
            <w:vAlign w:val="center"/>
          </w:tcPr>
          <w:p>
            <w:pPr>
              <w:widowControl/>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sz w:val="24"/>
                <w:szCs w:val="24"/>
              </w:rPr>
              <w:t>3.03%</w:t>
            </w:r>
          </w:p>
        </w:tc>
      </w:tr>
      <w:tr>
        <w:tblPrEx>
          <w:tblCellMar>
            <w:top w:w="15" w:type="dxa"/>
            <w:left w:w="15" w:type="dxa"/>
            <w:bottom w:w="15" w:type="dxa"/>
            <w:right w:w="15" w:type="dxa"/>
          </w:tblCellMar>
        </w:tblPrEx>
        <w:trPr>
          <w:trHeight w:val="539" w:hRule="atLeast"/>
        </w:trPr>
        <w:tc>
          <w:tcPr>
            <w:tcW w:w="1008" w:type="dxa"/>
            <w:vMerge w:val="continue"/>
            <w:tcBorders>
              <w:top w:val="single" w:color="8064A2" w:sz="8" w:space="0"/>
              <w:left w:val="single" w:color="8064A2" w:sz="8" w:space="0"/>
              <w:bottom w:val="single" w:color="8064A2" w:sz="8" w:space="0"/>
              <w:right w:val="dotted" w:color="auto" w:sz="8" w:space="0"/>
            </w:tcBorders>
            <w:shd w:val="clear" w:color="auto" w:fill="EDEAF0"/>
            <w:noWrap w:val="0"/>
            <w:textDirection w:val="tbRlV"/>
            <w:vAlign w:val="center"/>
          </w:tcPr>
          <w:p>
            <w:pPr>
              <w:jc w:val="center"/>
              <w:rPr>
                <w:rFonts w:ascii="宋体" w:hAnsi="宋体" w:eastAsia="宋体" w:cs="宋体"/>
                <w:b/>
                <w:color w:val="000000"/>
                <w:sz w:val="22"/>
              </w:rPr>
            </w:pPr>
          </w:p>
        </w:tc>
        <w:tc>
          <w:tcPr>
            <w:tcW w:w="3260"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cs="宋体"/>
                <w:b/>
                <w:color w:val="000000"/>
                <w:sz w:val="24"/>
                <w:szCs w:val="24"/>
              </w:rPr>
            </w:pPr>
            <w:r>
              <w:rPr>
                <w:rFonts w:hint="eastAsia" w:ascii="仿宋_GB2312" w:hAnsi="宋体" w:eastAsia="仿宋_GB2312" w:cs="宋体"/>
                <w:b/>
                <w:color w:val="000000"/>
                <w:kern w:val="0"/>
                <w:sz w:val="24"/>
                <w:szCs w:val="24"/>
              </w:rPr>
              <w:t>合计</w:t>
            </w:r>
          </w:p>
        </w:tc>
        <w:tc>
          <w:tcPr>
            <w:tcW w:w="1984"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b/>
                <w:color w:val="000000"/>
                <w:sz w:val="24"/>
                <w:szCs w:val="24"/>
              </w:rPr>
            </w:pPr>
            <w:r>
              <w:rPr>
                <w:rFonts w:hint="eastAsia" w:ascii="仿宋_GB2312" w:hAnsi="宋体" w:eastAsia="仿宋_GB2312"/>
                <w:b/>
                <w:color w:val="000000"/>
                <w:sz w:val="24"/>
                <w:szCs w:val="24"/>
              </w:rPr>
              <w:t>770</w:t>
            </w:r>
          </w:p>
        </w:tc>
        <w:tc>
          <w:tcPr>
            <w:tcW w:w="1985" w:type="dxa"/>
            <w:tcBorders>
              <w:top w:val="single" w:color="8064A2" w:sz="8" w:space="0"/>
              <w:left w:val="dotted" w:color="auto" w:sz="8" w:space="0"/>
              <w:bottom w:val="single" w:color="8064A2" w:sz="8" w:space="0"/>
              <w:right w:val="single" w:color="8064A2" w:sz="8" w:space="0"/>
            </w:tcBorders>
            <w:shd w:val="clear" w:color="auto" w:fill="EDEAF0"/>
            <w:noWrap w:val="0"/>
            <w:vAlign w:val="center"/>
          </w:tcPr>
          <w:p>
            <w:pPr>
              <w:widowControl/>
              <w:jc w:val="center"/>
              <w:textAlignment w:val="center"/>
              <w:rPr>
                <w:rFonts w:ascii="仿宋_GB2312" w:hAnsi="宋体" w:eastAsia="仿宋_GB2312" w:cs="宋体"/>
                <w:b/>
                <w:color w:val="000000"/>
                <w:sz w:val="22"/>
              </w:rPr>
            </w:pPr>
            <w:r>
              <w:rPr>
                <w:rFonts w:hint="eastAsia" w:ascii="仿宋_GB2312" w:hAnsi="宋体" w:eastAsia="仿宋_GB2312" w:cs="宋体"/>
                <w:b/>
                <w:color w:val="000000"/>
                <w:sz w:val="22"/>
              </w:rPr>
              <w:t>31.94%</w:t>
            </w:r>
          </w:p>
        </w:tc>
      </w:tr>
      <w:tr>
        <w:tblPrEx>
          <w:tblCellMar>
            <w:top w:w="15" w:type="dxa"/>
            <w:left w:w="15" w:type="dxa"/>
            <w:bottom w:w="15" w:type="dxa"/>
            <w:right w:w="15" w:type="dxa"/>
          </w:tblCellMar>
        </w:tblPrEx>
        <w:trPr>
          <w:trHeight w:val="539" w:hRule="atLeast"/>
        </w:trPr>
        <w:tc>
          <w:tcPr>
            <w:tcW w:w="1008" w:type="dxa"/>
            <w:vMerge w:val="restart"/>
            <w:tcBorders>
              <w:top w:val="single" w:color="8064A2" w:sz="8" w:space="0"/>
              <w:left w:val="single" w:color="8064A2" w:sz="8" w:space="0"/>
              <w:bottom w:val="single" w:color="8064A2" w:sz="8" w:space="0"/>
              <w:right w:val="dotted" w:color="auto" w:sz="8" w:space="0"/>
            </w:tcBorders>
            <w:shd w:val="clear" w:color="auto" w:fill="FFFFFF"/>
            <w:noWrap w:val="0"/>
            <w:textDirection w:val="tbRlV"/>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财政金融学院</w:t>
            </w:r>
          </w:p>
        </w:tc>
        <w:tc>
          <w:tcPr>
            <w:tcW w:w="3260" w:type="dxa"/>
            <w:tcBorders>
              <w:top w:val="single" w:color="8064A2" w:sz="8" w:space="0"/>
              <w:left w:val="dotted" w:color="auto" w:sz="8" w:space="0"/>
              <w:bottom w:val="single" w:color="8064A2" w:sz="8" w:space="0"/>
              <w:right w:val="dotted" w:color="auto" w:sz="8" w:space="0"/>
            </w:tcBorders>
            <w:shd w:val="clear" w:color="auto" w:fill="FFFFFF"/>
            <w:noWrap w:val="0"/>
            <w:vAlign w:val="center"/>
          </w:tcPr>
          <w:p>
            <w:pPr>
              <w:widowControl/>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rPr>
              <w:t>金融学</w:t>
            </w:r>
          </w:p>
        </w:tc>
        <w:tc>
          <w:tcPr>
            <w:tcW w:w="1984" w:type="dxa"/>
            <w:tcBorders>
              <w:top w:val="single" w:color="8064A2" w:sz="8" w:space="0"/>
              <w:left w:val="dotted" w:color="auto" w:sz="8" w:space="0"/>
              <w:bottom w:val="single" w:color="8064A2" w:sz="8" w:space="0"/>
              <w:right w:val="dotted" w:color="auto" w:sz="8" w:space="0"/>
            </w:tcBorders>
            <w:shd w:val="clear" w:color="auto" w:fill="FFFFFF"/>
            <w:noWrap w:val="0"/>
            <w:vAlign w:val="center"/>
          </w:tcPr>
          <w:p>
            <w:pPr>
              <w:widowControl/>
              <w:jc w:val="center"/>
              <w:textAlignment w:val="center"/>
              <w:rPr>
                <w:rFonts w:ascii="仿宋_GB2312" w:hAnsi="宋体" w:eastAsia="仿宋_GB2312"/>
                <w:color w:val="000000"/>
                <w:sz w:val="24"/>
                <w:szCs w:val="24"/>
              </w:rPr>
            </w:pPr>
            <w:r>
              <w:rPr>
                <w:rFonts w:hint="eastAsia" w:ascii="仿宋_GB2312" w:hAnsi="宋体" w:eastAsia="仿宋_GB2312"/>
                <w:color w:val="000000"/>
                <w:sz w:val="24"/>
                <w:szCs w:val="24"/>
              </w:rPr>
              <w:t>290</w:t>
            </w:r>
          </w:p>
        </w:tc>
        <w:tc>
          <w:tcPr>
            <w:tcW w:w="1985" w:type="dxa"/>
            <w:tcBorders>
              <w:top w:val="single" w:color="8064A2" w:sz="8" w:space="0"/>
              <w:left w:val="dotted" w:color="auto" w:sz="8" w:space="0"/>
              <w:bottom w:val="single" w:color="8064A2" w:sz="8" w:space="0"/>
              <w:right w:val="single" w:color="8064A2" w:sz="8" w:space="0"/>
            </w:tcBorders>
            <w:shd w:val="clear" w:color="auto" w:fill="FFFFFF"/>
            <w:noWrap w:val="0"/>
            <w:vAlign w:val="center"/>
          </w:tcPr>
          <w:p>
            <w:pPr>
              <w:widowControl/>
              <w:jc w:val="center"/>
              <w:textAlignment w:val="center"/>
              <w:rPr>
                <w:rFonts w:ascii="仿宋_GB2312" w:hAnsi="宋体" w:eastAsia="仿宋_GB2312" w:cs="宋体"/>
                <w:color w:val="000000"/>
                <w:sz w:val="22"/>
              </w:rPr>
            </w:pPr>
            <w:r>
              <w:rPr>
                <w:rFonts w:hint="eastAsia" w:ascii="仿宋_GB2312" w:hAnsi="宋体" w:eastAsia="仿宋_GB2312" w:cs="宋体"/>
                <w:color w:val="000000"/>
                <w:sz w:val="22"/>
              </w:rPr>
              <w:t>12.03%</w:t>
            </w:r>
          </w:p>
        </w:tc>
      </w:tr>
      <w:tr>
        <w:tblPrEx>
          <w:tblCellMar>
            <w:top w:w="15" w:type="dxa"/>
            <w:left w:w="15" w:type="dxa"/>
            <w:bottom w:w="15" w:type="dxa"/>
            <w:right w:w="15" w:type="dxa"/>
          </w:tblCellMar>
        </w:tblPrEx>
        <w:trPr>
          <w:trHeight w:val="539" w:hRule="atLeast"/>
        </w:trPr>
        <w:tc>
          <w:tcPr>
            <w:tcW w:w="1008" w:type="dxa"/>
            <w:vMerge w:val="continue"/>
            <w:tcBorders>
              <w:top w:val="single" w:color="8064A2" w:sz="8" w:space="0"/>
              <w:left w:val="single" w:color="8064A2" w:sz="8" w:space="0"/>
              <w:bottom w:val="single" w:color="8064A2" w:sz="8" w:space="0"/>
              <w:right w:val="dotted" w:color="auto" w:sz="8" w:space="0"/>
            </w:tcBorders>
            <w:shd w:val="clear" w:color="auto" w:fill="EDEAF0"/>
            <w:noWrap w:val="0"/>
            <w:textDirection w:val="tbRlV"/>
            <w:vAlign w:val="center"/>
          </w:tcPr>
          <w:p>
            <w:pPr>
              <w:jc w:val="center"/>
              <w:rPr>
                <w:rFonts w:ascii="宋体" w:hAnsi="宋体" w:eastAsia="宋体" w:cs="宋体"/>
                <w:b/>
                <w:color w:val="000000"/>
                <w:sz w:val="22"/>
              </w:rPr>
            </w:pPr>
          </w:p>
        </w:tc>
        <w:tc>
          <w:tcPr>
            <w:tcW w:w="3260"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rPr>
              <w:t>财政学</w:t>
            </w:r>
          </w:p>
        </w:tc>
        <w:tc>
          <w:tcPr>
            <w:tcW w:w="1984"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color w:val="000000"/>
                <w:sz w:val="24"/>
                <w:szCs w:val="24"/>
              </w:rPr>
            </w:pPr>
            <w:r>
              <w:rPr>
                <w:rFonts w:hint="eastAsia" w:ascii="仿宋_GB2312" w:hAnsi="宋体" w:eastAsia="仿宋_GB2312"/>
                <w:color w:val="000000"/>
                <w:sz w:val="24"/>
                <w:szCs w:val="24"/>
              </w:rPr>
              <w:t>86</w:t>
            </w:r>
          </w:p>
        </w:tc>
        <w:tc>
          <w:tcPr>
            <w:tcW w:w="1985" w:type="dxa"/>
            <w:tcBorders>
              <w:top w:val="single" w:color="8064A2" w:sz="8" w:space="0"/>
              <w:left w:val="dotted" w:color="auto" w:sz="8" w:space="0"/>
              <w:bottom w:val="single" w:color="8064A2" w:sz="8" w:space="0"/>
              <w:right w:val="single" w:color="8064A2" w:sz="8" w:space="0"/>
            </w:tcBorders>
            <w:shd w:val="clear" w:color="auto" w:fill="EDEAF0"/>
            <w:noWrap w:val="0"/>
            <w:vAlign w:val="center"/>
          </w:tcPr>
          <w:p>
            <w:pPr>
              <w:widowControl/>
              <w:jc w:val="center"/>
              <w:textAlignment w:val="center"/>
              <w:rPr>
                <w:rFonts w:ascii="仿宋_GB2312" w:hAnsi="宋体" w:eastAsia="仿宋_GB2312" w:cs="宋体"/>
                <w:color w:val="000000"/>
                <w:sz w:val="22"/>
              </w:rPr>
            </w:pPr>
            <w:r>
              <w:rPr>
                <w:rFonts w:hint="eastAsia" w:ascii="仿宋_GB2312" w:hAnsi="宋体" w:eastAsia="仿宋_GB2312" w:cs="宋体"/>
                <w:color w:val="000000"/>
                <w:sz w:val="22"/>
              </w:rPr>
              <w:t>3.57%</w:t>
            </w:r>
          </w:p>
        </w:tc>
      </w:tr>
      <w:tr>
        <w:tblPrEx>
          <w:tblCellMar>
            <w:top w:w="15" w:type="dxa"/>
            <w:left w:w="15" w:type="dxa"/>
            <w:bottom w:w="15" w:type="dxa"/>
            <w:right w:w="15" w:type="dxa"/>
          </w:tblCellMar>
        </w:tblPrEx>
        <w:trPr>
          <w:trHeight w:val="539" w:hRule="atLeast"/>
        </w:trPr>
        <w:tc>
          <w:tcPr>
            <w:tcW w:w="1008" w:type="dxa"/>
            <w:vMerge w:val="continue"/>
            <w:tcBorders>
              <w:top w:val="single" w:color="8064A2" w:sz="8" w:space="0"/>
              <w:left w:val="single" w:color="8064A2" w:sz="8" w:space="0"/>
              <w:bottom w:val="single" w:color="8064A2" w:sz="8" w:space="0"/>
              <w:right w:val="dotted" w:color="auto" w:sz="8" w:space="0"/>
            </w:tcBorders>
            <w:shd w:val="clear" w:color="auto" w:fill="FFFFFF"/>
            <w:noWrap w:val="0"/>
            <w:textDirection w:val="tbRlV"/>
            <w:vAlign w:val="center"/>
          </w:tcPr>
          <w:p>
            <w:pPr>
              <w:jc w:val="center"/>
              <w:rPr>
                <w:rFonts w:ascii="宋体" w:hAnsi="宋体" w:eastAsia="宋体" w:cs="宋体"/>
                <w:b/>
                <w:color w:val="000000"/>
                <w:sz w:val="22"/>
              </w:rPr>
            </w:pPr>
          </w:p>
        </w:tc>
        <w:tc>
          <w:tcPr>
            <w:tcW w:w="3260" w:type="dxa"/>
            <w:tcBorders>
              <w:top w:val="single" w:color="8064A2" w:sz="8" w:space="0"/>
              <w:left w:val="dotted" w:color="auto" w:sz="8" w:space="0"/>
              <w:bottom w:val="single" w:color="8064A2" w:sz="8" w:space="0"/>
              <w:right w:val="dotted" w:color="auto" w:sz="8" w:space="0"/>
            </w:tcBorders>
            <w:shd w:val="clear" w:color="auto" w:fill="FFFFFF"/>
            <w:noWrap w:val="0"/>
            <w:vAlign w:val="center"/>
          </w:tcPr>
          <w:p>
            <w:pPr>
              <w:widowControl/>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rPr>
              <w:t>税收学</w:t>
            </w:r>
          </w:p>
        </w:tc>
        <w:tc>
          <w:tcPr>
            <w:tcW w:w="1984" w:type="dxa"/>
            <w:tcBorders>
              <w:top w:val="single" w:color="8064A2" w:sz="8" w:space="0"/>
              <w:left w:val="dotted" w:color="auto" w:sz="8" w:space="0"/>
              <w:bottom w:val="single" w:color="8064A2" w:sz="8" w:space="0"/>
              <w:right w:val="dotted" w:color="auto" w:sz="8" w:space="0"/>
            </w:tcBorders>
            <w:shd w:val="clear" w:color="auto" w:fill="FFFFFF"/>
            <w:noWrap w:val="0"/>
            <w:vAlign w:val="center"/>
          </w:tcPr>
          <w:p>
            <w:pPr>
              <w:widowControl/>
              <w:jc w:val="center"/>
              <w:textAlignment w:val="center"/>
              <w:rPr>
                <w:rFonts w:ascii="仿宋_GB2312" w:hAnsi="宋体" w:eastAsia="仿宋_GB2312"/>
                <w:color w:val="000000"/>
                <w:sz w:val="24"/>
                <w:szCs w:val="24"/>
              </w:rPr>
            </w:pPr>
            <w:r>
              <w:rPr>
                <w:rFonts w:hint="eastAsia" w:ascii="仿宋_GB2312" w:hAnsi="宋体" w:eastAsia="仿宋_GB2312"/>
                <w:color w:val="000000"/>
                <w:sz w:val="24"/>
                <w:szCs w:val="24"/>
              </w:rPr>
              <w:t>43</w:t>
            </w:r>
          </w:p>
        </w:tc>
        <w:tc>
          <w:tcPr>
            <w:tcW w:w="1985" w:type="dxa"/>
            <w:tcBorders>
              <w:top w:val="single" w:color="8064A2" w:sz="8" w:space="0"/>
              <w:left w:val="dotted" w:color="auto" w:sz="8" w:space="0"/>
              <w:bottom w:val="single" w:color="8064A2" w:sz="8" w:space="0"/>
              <w:right w:val="single" w:color="8064A2" w:sz="8" w:space="0"/>
            </w:tcBorders>
            <w:shd w:val="clear" w:color="auto" w:fill="FFFFFF"/>
            <w:noWrap w:val="0"/>
            <w:vAlign w:val="center"/>
          </w:tcPr>
          <w:p>
            <w:pPr>
              <w:widowControl/>
              <w:jc w:val="center"/>
              <w:textAlignment w:val="center"/>
              <w:rPr>
                <w:rFonts w:ascii="仿宋_GB2312" w:hAnsi="宋体" w:eastAsia="仿宋_GB2312" w:cs="宋体"/>
                <w:color w:val="000000"/>
                <w:sz w:val="22"/>
              </w:rPr>
            </w:pPr>
            <w:r>
              <w:rPr>
                <w:rFonts w:hint="eastAsia" w:ascii="仿宋_GB2312" w:hAnsi="宋体" w:eastAsia="仿宋_GB2312" w:cs="宋体"/>
                <w:color w:val="000000"/>
                <w:sz w:val="22"/>
              </w:rPr>
              <w:t>1.78%</w:t>
            </w:r>
          </w:p>
        </w:tc>
      </w:tr>
      <w:tr>
        <w:tblPrEx>
          <w:tblCellMar>
            <w:top w:w="15" w:type="dxa"/>
            <w:left w:w="15" w:type="dxa"/>
            <w:bottom w:w="15" w:type="dxa"/>
            <w:right w:w="15" w:type="dxa"/>
          </w:tblCellMar>
        </w:tblPrEx>
        <w:trPr>
          <w:trHeight w:val="539" w:hRule="atLeast"/>
        </w:trPr>
        <w:tc>
          <w:tcPr>
            <w:tcW w:w="1008" w:type="dxa"/>
            <w:vMerge w:val="continue"/>
            <w:tcBorders>
              <w:top w:val="single" w:color="8064A2" w:sz="8" w:space="0"/>
              <w:left w:val="single" w:color="8064A2" w:sz="8" w:space="0"/>
              <w:bottom w:val="single" w:color="8064A2" w:sz="8" w:space="0"/>
              <w:right w:val="dotted" w:color="auto" w:sz="8" w:space="0"/>
            </w:tcBorders>
            <w:shd w:val="clear" w:color="auto" w:fill="EDEAF0"/>
            <w:noWrap w:val="0"/>
            <w:textDirection w:val="tbRlV"/>
            <w:vAlign w:val="center"/>
          </w:tcPr>
          <w:p>
            <w:pPr>
              <w:jc w:val="center"/>
              <w:rPr>
                <w:rFonts w:ascii="宋体" w:hAnsi="宋体" w:eastAsia="宋体" w:cs="宋体"/>
                <w:b/>
                <w:color w:val="000000"/>
                <w:sz w:val="22"/>
              </w:rPr>
            </w:pPr>
          </w:p>
        </w:tc>
        <w:tc>
          <w:tcPr>
            <w:tcW w:w="3260"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cs="宋体"/>
                <w:b/>
                <w:color w:val="000000"/>
                <w:sz w:val="24"/>
                <w:szCs w:val="24"/>
              </w:rPr>
            </w:pPr>
            <w:r>
              <w:rPr>
                <w:rFonts w:hint="eastAsia" w:ascii="仿宋_GB2312" w:hAnsi="宋体" w:eastAsia="仿宋_GB2312" w:cs="宋体"/>
                <w:b/>
                <w:color w:val="000000"/>
                <w:kern w:val="0"/>
                <w:sz w:val="24"/>
                <w:szCs w:val="24"/>
              </w:rPr>
              <w:t>合计</w:t>
            </w:r>
          </w:p>
        </w:tc>
        <w:tc>
          <w:tcPr>
            <w:tcW w:w="1984"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b/>
                <w:color w:val="000000"/>
                <w:sz w:val="24"/>
                <w:szCs w:val="24"/>
              </w:rPr>
            </w:pPr>
            <w:r>
              <w:rPr>
                <w:rFonts w:hint="eastAsia" w:ascii="仿宋_GB2312" w:hAnsi="宋体" w:eastAsia="仿宋_GB2312"/>
                <w:b/>
                <w:color w:val="000000"/>
                <w:sz w:val="24"/>
                <w:szCs w:val="24"/>
              </w:rPr>
              <w:t>419</w:t>
            </w:r>
          </w:p>
        </w:tc>
        <w:tc>
          <w:tcPr>
            <w:tcW w:w="1985" w:type="dxa"/>
            <w:tcBorders>
              <w:top w:val="single" w:color="8064A2" w:sz="8" w:space="0"/>
              <w:left w:val="dotted" w:color="auto" w:sz="8" w:space="0"/>
              <w:bottom w:val="single" w:color="8064A2" w:sz="8" w:space="0"/>
              <w:right w:val="single" w:color="8064A2" w:sz="8" w:space="0"/>
            </w:tcBorders>
            <w:shd w:val="clear" w:color="auto" w:fill="EDEAF0"/>
            <w:noWrap w:val="0"/>
            <w:vAlign w:val="center"/>
          </w:tcPr>
          <w:p>
            <w:pPr>
              <w:widowControl/>
              <w:jc w:val="center"/>
              <w:textAlignment w:val="center"/>
              <w:rPr>
                <w:rFonts w:ascii="仿宋_GB2312" w:hAnsi="宋体" w:eastAsia="仿宋_GB2312" w:cs="宋体"/>
                <w:b/>
                <w:color w:val="000000"/>
                <w:sz w:val="22"/>
              </w:rPr>
            </w:pPr>
            <w:r>
              <w:rPr>
                <w:rFonts w:hint="eastAsia" w:ascii="仿宋_GB2312" w:hAnsi="宋体" w:eastAsia="仿宋_GB2312" w:cs="宋体"/>
                <w:b/>
                <w:color w:val="000000"/>
                <w:sz w:val="22"/>
              </w:rPr>
              <w:t>17.38%</w:t>
            </w:r>
          </w:p>
        </w:tc>
      </w:tr>
      <w:tr>
        <w:tblPrEx>
          <w:tblCellMar>
            <w:top w:w="15" w:type="dxa"/>
            <w:left w:w="15" w:type="dxa"/>
            <w:bottom w:w="15" w:type="dxa"/>
            <w:right w:w="15" w:type="dxa"/>
          </w:tblCellMar>
        </w:tblPrEx>
        <w:trPr>
          <w:trHeight w:val="539" w:hRule="atLeast"/>
        </w:trPr>
        <w:tc>
          <w:tcPr>
            <w:tcW w:w="1008" w:type="dxa"/>
            <w:vMerge w:val="restart"/>
            <w:tcBorders>
              <w:top w:val="single" w:color="8064A2" w:sz="8" w:space="0"/>
              <w:left w:val="single" w:color="8064A2" w:sz="8" w:space="0"/>
              <w:bottom w:val="single" w:color="8064A2" w:sz="8" w:space="0"/>
              <w:right w:val="dotted" w:color="auto" w:sz="8" w:space="0"/>
            </w:tcBorders>
            <w:shd w:val="clear" w:color="auto" w:fill="FFFFFF"/>
            <w:noWrap w:val="0"/>
            <w:textDirection w:val="tbRlV"/>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工程管理学院</w:t>
            </w:r>
          </w:p>
        </w:tc>
        <w:tc>
          <w:tcPr>
            <w:tcW w:w="3260" w:type="dxa"/>
            <w:tcBorders>
              <w:top w:val="single" w:color="8064A2" w:sz="8" w:space="0"/>
              <w:left w:val="dotted" w:color="auto" w:sz="8" w:space="0"/>
              <w:bottom w:val="single" w:color="8064A2" w:sz="8" w:space="0"/>
              <w:right w:val="dotted" w:color="auto" w:sz="8" w:space="0"/>
            </w:tcBorders>
            <w:shd w:val="clear" w:color="auto" w:fill="FFFFFF"/>
            <w:noWrap w:val="0"/>
            <w:vAlign w:val="center"/>
          </w:tcPr>
          <w:p>
            <w:pPr>
              <w:widowControl/>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rPr>
              <w:t>工程管理</w:t>
            </w:r>
          </w:p>
        </w:tc>
        <w:tc>
          <w:tcPr>
            <w:tcW w:w="1984" w:type="dxa"/>
            <w:tcBorders>
              <w:top w:val="single" w:color="8064A2" w:sz="8" w:space="0"/>
              <w:left w:val="dotted" w:color="auto" w:sz="8" w:space="0"/>
              <w:bottom w:val="single" w:color="8064A2" w:sz="8" w:space="0"/>
              <w:right w:val="dotted" w:color="auto" w:sz="8" w:space="0"/>
            </w:tcBorders>
            <w:shd w:val="clear" w:color="auto" w:fill="FFFFFF"/>
            <w:noWrap w:val="0"/>
            <w:vAlign w:val="center"/>
          </w:tcPr>
          <w:p>
            <w:pPr>
              <w:widowControl/>
              <w:jc w:val="center"/>
              <w:textAlignment w:val="center"/>
              <w:rPr>
                <w:rFonts w:ascii="仿宋_GB2312" w:hAnsi="宋体" w:eastAsia="仿宋_GB2312"/>
                <w:color w:val="000000"/>
                <w:sz w:val="24"/>
                <w:szCs w:val="24"/>
              </w:rPr>
            </w:pPr>
            <w:r>
              <w:rPr>
                <w:rFonts w:hint="eastAsia" w:ascii="仿宋_GB2312" w:hAnsi="宋体" w:eastAsia="仿宋_GB2312"/>
                <w:color w:val="000000"/>
                <w:sz w:val="24"/>
                <w:szCs w:val="24"/>
              </w:rPr>
              <w:t>40</w:t>
            </w:r>
          </w:p>
        </w:tc>
        <w:tc>
          <w:tcPr>
            <w:tcW w:w="1985" w:type="dxa"/>
            <w:tcBorders>
              <w:top w:val="single" w:color="8064A2" w:sz="8" w:space="0"/>
              <w:left w:val="dotted" w:color="auto" w:sz="8" w:space="0"/>
              <w:bottom w:val="single" w:color="8064A2" w:sz="8" w:space="0"/>
              <w:right w:val="single" w:color="8064A2" w:sz="8" w:space="0"/>
            </w:tcBorders>
            <w:shd w:val="clear" w:color="auto" w:fill="FFFFFF"/>
            <w:noWrap w:val="0"/>
            <w:vAlign w:val="center"/>
          </w:tcPr>
          <w:p>
            <w:pPr>
              <w:widowControl/>
              <w:jc w:val="center"/>
              <w:textAlignment w:val="center"/>
              <w:rPr>
                <w:rFonts w:ascii="仿宋_GB2312" w:hAnsi="宋体" w:eastAsia="仿宋_GB2312" w:cs="宋体"/>
                <w:color w:val="000000"/>
                <w:sz w:val="22"/>
              </w:rPr>
            </w:pPr>
            <w:r>
              <w:rPr>
                <w:rFonts w:hint="eastAsia" w:ascii="仿宋_GB2312" w:hAnsi="宋体" w:eastAsia="仿宋_GB2312" w:cs="宋体"/>
                <w:color w:val="000000"/>
                <w:sz w:val="22"/>
              </w:rPr>
              <w:t>1.66%</w:t>
            </w:r>
          </w:p>
        </w:tc>
      </w:tr>
      <w:tr>
        <w:tblPrEx>
          <w:tblCellMar>
            <w:top w:w="15" w:type="dxa"/>
            <w:left w:w="15" w:type="dxa"/>
            <w:bottom w:w="15" w:type="dxa"/>
            <w:right w:w="15" w:type="dxa"/>
          </w:tblCellMar>
        </w:tblPrEx>
        <w:trPr>
          <w:trHeight w:val="539" w:hRule="atLeast"/>
        </w:trPr>
        <w:tc>
          <w:tcPr>
            <w:tcW w:w="1008" w:type="dxa"/>
            <w:vMerge w:val="continue"/>
            <w:tcBorders>
              <w:top w:val="single" w:color="8064A2" w:sz="8" w:space="0"/>
              <w:left w:val="single" w:color="8064A2" w:sz="8" w:space="0"/>
              <w:bottom w:val="single" w:color="8064A2" w:sz="8" w:space="0"/>
              <w:right w:val="dotted" w:color="auto" w:sz="8" w:space="0"/>
            </w:tcBorders>
            <w:shd w:val="clear" w:color="auto" w:fill="EDEAF0"/>
            <w:noWrap w:val="0"/>
            <w:textDirection w:val="tbRlV"/>
            <w:vAlign w:val="center"/>
          </w:tcPr>
          <w:p>
            <w:pPr>
              <w:jc w:val="center"/>
              <w:rPr>
                <w:rFonts w:ascii="宋体" w:hAnsi="宋体" w:eastAsia="宋体" w:cs="宋体"/>
                <w:b/>
                <w:color w:val="000000"/>
                <w:sz w:val="22"/>
              </w:rPr>
            </w:pPr>
          </w:p>
        </w:tc>
        <w:tc>
          <w:tcPr>
            <w:tcW w:w="3260"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rPr>
              <w:t>土地资源管理</w:t>
            </w:r>
          </w:p>
        </w:tc>
        <w:tc>
          <w:tcPr>
            <w:tcW w:w="1984"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color w:val="000000"/>
                <w:sz w:val="24"/>
                <w:szCs w:val="24"/>
              </w:rPr>
            </w:pPr>
            <w:r>
              <w:rPr>
                <w:rFonts w:hint="eastAsia" w:ascii="仿宋_GB2312" w:hAnsi="宋体" w:eastAsia="仿宋_GB2312"/>
                <w:color w:val="000000"/>
                <w:sz w:val="24"/>
                <w:szCs w:val="24"/>
              </w:rPr>
              <w:t>42</w:t>
            </w:r>
          </w:p>
        </w:tc>
        <w:tc>
          <w:tcPr>
            <w:tcW w:w="1985" w:type="dxa"/>
            <w:tcBorders>
              <w:top w:val="single" w:color="8064A2" w:sz="8" w:space="0"/>
              <w:left w:val="dotted" w:color="auto" w:sz="8" w:space="0"/>
              <w:bottom w:val="single" w:color="8064A2" w:sz="8" w:space="0"/>
              <w:right w:val="single" w:color="8064A2" w:sz="8" w:space="0"/>
            </w:tcBorders>
            <w:shd w:val="clear" w:color="auto" w:fill="EDEAF0"/>
            <w:noWrap w:val="0"/>
            <w:vAlign w:val="center"/>
          </w:tcPr>
          <w:p>
            <w:pPr>
              <w:widowControl/>
              <w:jc w:val="center"/>
              <w:textAlignment w:val="center"/>
              <w:rPr>
                <w:rFonts w:ascii="仿宋_GB2312" w:hAnsi="宋体" w:eastAsia="仿宋_GB2312" w:cs="宋体"/>
                <w:color w:val="000000"/>
                <w:sz w:val="22"/>
              </w:rPr>
            </w:pPr>
            <w:r>
              <w:rPr>
                <w:rFonts w:hint="eastAsia" w:ascii="仿宋_GB2312" w:hAnsi="宋体" w:eastAsia="仿宋_GB2312" w:cs="宋体"/>
                <w:color w:val="000000"/>
                <w:sz w:val="22"/>
              </w:rPr>
              <w:t>1.74%</w:t>
            </w:r>
          </w:p>
        </w:tc>
      </w:tr>
      <w:tr>
        <w:tblPrEx>
          <w:tblCellMar>
            <w:top w:w="15" w:type="dxa"/>
            <w:left w:w="15" w:type="dxa"/>
            <w:bottom w:w="15" w:type="dxa"/>
            <w:right w:w="15" w:type="dxa"/>
          </w:tblCellMar>
        </w:tblPrEx>
        <w:trPr>
          <w:trHeight w:val="539" w:hRule="atLeast"/>
        </w:trPr>
        <w:tc>
          <w:tcPr>
            <w:tcW w:w="1008" w:type="dxa"/>
            <w:vMerge w:val="continue"/>
            <w:tcBorders>
              <w:top w:val="single" w:color="8064A2" w:sz="8" w:space="0"/>
              <w:left w:val="single" w:color="8064A2" w:sz="8" w:space="0"/>
              <w:bottom w:val="single" w:color="8064A2" w:sz="8" w:space="0"/>
              <w:right w:val="dotted" w:color="auto" w:sz="8" w:space="0"/>
            </w:tcBorders>
            <w:shd w:val="clear" w:color="auto" w:fill="FFFFFF"/>
            <w:noWrap w:val="0"/>
            <w:textDirection w:val="tbRlV"/>
            <w:vAlign w:val="center"/>
          </w:tcPr>
          <w:p>
            <w:pPr>
              <w:jc w:val="center"/>
              <w:rPr>
                <w:rFonts w:ascii="宋体" w:hAnsi="宋体" w:eastAsia="宋体" w:cs="宋体"/>
                <w:b/>
                <w:color w:val="000000"/>
                <w:sz w:val="22"/>
              </w:rPr>
            </w:pPr>
          </w:p>
        </w:tc>
        <w:tc>
          <w:tcPr>
            <w:tcW w:w="3260" w:type="dxa"/>
            <w:tcBorders>
              <w:top w:val="single" w:color="8064A2" w:sz="8" w:space="0"/>
              <w:left w:val="dotted" w:color="auto" w:sz="8" w:space="0"/>
              <w:bottom w:val="single" w:color="8064A2" w:sz="8" w:space="0"/>
              <w:right w:val="dotted" w:color="auto" w:sz="8" w:space="0"/>
            </w:tcBorders>
            <w:shd w:val="clear" w:color="auto" w:fill="FFFFFF"/>
            <w:noWrap w:val="0"/>
            <w:vAlign w:val="center"/>
          </w:tcPr>
          <w:p>
            <w:pPr>
              <w:widowControl/>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rPr>
              <w:t>房地产开发与管理</w:t>
            </w:r>
          </w:p>
        </w:tc>
        <w:tc>
          <w:tcPr>
            <w:tcW w:w="1984" w:type="dxa"/>
            <w:tcBorders>
              <w:top w:val="single" w:color="8064A2" w:sz="8" w:space="0"/>
              <w:left w:val="dotted" w:color="auto" w:sz="8" w:space="0"/>
              <w:bottom w:val="single" w:color="8064A2" w:sz="8" w:space="0"/>
              <w:right w:val="dotted" w:color="auto" w:sz="8" w:space="0"/>
            </w:tcBorders>
            <w:shd w:val="clear" w:color="auto" w:fill="FFFFFF"/>
            <w:noWrap w:val="0"/>
            <w:vAlign w:val="center"/>
          </w:tcPr>
          <w:p>
            <w:pPr>
              <w:widowControl/>
              <w:jc w:val="center"/>
              <w:textAlignment w:val="center"/>
              <w:rPr>
                <w:rFonts w:ascii="仿宋_GB2312" w:hAnsi="宋体" w:eastAsia="仿宋_GB2312"/>
                <w:color w:val="000000"/>
                <w:sz w:val="24"/>
                <w:szCs w:val="24"/>
              </w:rPr>
            </w:pPr>
            <w:r>
              <w:rPr>
                <w:rFonts w:hint="eastAsia" w:ascii="仿宋_GB2312" w:hAnsi="宋体" w:eastAsia="仿宋_GB2312"/>
                <w:color w:val="000000"/>
                <w:sz w:val="24"/>
                <w:szCs w:val="24"/>
              </w:rPr>
              <w:t>41</w:t>
            </w:r>
          </w:p>
        </w:tc>
        <w:tc>
          <w:tcPr>
            <w:tcW w:w="1985" w:type="dxa"/>
            <w:tcBorders>
              <w:top w:val="single" w:color="8064A2" w:sz="8" w:space="0"/>
              <w:left w:val="dotted" w:color="auto" w:sz="8" w:space="0"/>
              <w:bottom w:val="single" w:color="8064A2" w:sz="8" w:space="0"/>
              <w:right w:val="single" w:color="8064A2" w:sz="8" w:space="0"/>
            </w:tcBorders>
            <w:shd w:val="clear" w:color="auto" w:fill="FFFFFF"/>
            <w:noWrap w:val="0"/>
            <w:vAlign w:val="center"/>
          </w:tcPr>
          <w:p>
            <w:pPr>
              <w:widowControl/>
              <w:jc w:val="center"/>
              <w:textAlignment w:val="center"/>
              <w:rPr>
                <w:rFonts w:ascii="仿宋_GB2312" w:hAnsi="宋体" w:eastAsia="仿宋_GB2312" w:cs="宋体"/>
                <w:color w:val="000000"/>
                <w:sz w:val="22"/>
              </w:rPr>
            </w:pPr>
            <w:r>
              <w:rPr>
                <w:rFonts w:hint="eastAsia" w:ascii="仿宋_GB2312" w:hAnsi="宋体" w:eastAsia="仿宋_GB2312" w:cs="宋体"/>
                <w:color w:val="000000"/>
                <w:sz w:val="22"/>
              </w:rPr>
              <w:t>1.70%</w:t>
            </w:r>
          </w:p>
        </w:tc>
      </w:tr>
      <w:tr>
        <w:tblPrEx>
          <w:tblCellMar>
            <w:top w:w="15" w:type="dxa"/>
            <w:left w:w="15" w:type="dxa"/>
            <w:bottom w:w="15" w:type="dxa"/>
            <w:right w:w="15" w:type="dxa"/>
          </w:tblCellMar>
        </w:tblPrEx>
        <w:trPr>
          <w:trHeight w:val="539" w:hRule="atLeast"/>
        </w:trPr>
        <w:tc>
          <w:tcPr>
            <w:tcW w:w="1008" w:type="dxa"/>
            <w:vMerge w:val="continue"/>
            <w:tcBorders>
              <w:top w:val="single" w:color="8064A2" w:sz="8" w:space="0"/>
              <w:left w:val="single" w:color="8064A2" w:sz="8" w:space="0"/>
              <w:bottom w:val="single" w:color="8064A2" w:sz="8" w:space="0"/>
              <w:right w:val="dotted" w:color="auto" w:sz="8" w:space="0"/>
            </w:tcBorders>
            <w:shd w:val="clear" w:color="auto" w:fill="EDEAF0"/>
            <w:noWrap w:val="0"/>
            <w:textDirection w:val="tbRlV"/>
            <w:vAlign w:val="center"/>
          </w:tcPr>
          <w:p>
            <w:pPr>
              <w:jc w:val="center"/>
              <w:rPr>
                <w:rFonts w:ascii="宋体" w:hAnsi="宋体" w:eastAsia="宋体" w:cs="宋体"/>
                <w:b/>
                <w:color w:val="000000"/>
                <w:sz w:val="22"/>
              </w:rPr>
            </w:pPr>
          </w:p>
        </w:tc>
        <w:tc>
          <w:tcPr>
            <w:tcW w:w="3260"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rPr>
              <w:t>工程造价</w:t>
            </w:r>
          </w:p>
        </w:tc>
        <w:tc>
          <w:tcPr>
            <w:tcW w:w="1984"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color w:val="000000"/>
                <w:sz w:val="24"/>
                <w:szCs w:val="24"/>
              </w:rPr>
            </w:pPr>
            <w:r>
              <w:rPr>
                <w:rFonts w:hint="eastAsia" w:ascii="仿宋_GB2312" w:hAnsi="宋体" w:eastAsia="仿宋_GB2312"/>
                <w:color w:val="000000"/>
                <w:sz w:val="24"/>
                <w:szCs w:val="24"/>
              </w:rPr>
              <w:t>91</w:t>
            </w:r>
          </w:p>
        </w:tc>
        <w:tc>
          <w:tcPr>
            <w:tcW w:w="1985" w:type="dxa"/>
            <w:tcBorders>
              <w:top w:val="single" w:color="8064A2" w:sz="8" w:space="0"/>
              <w:left w:val="dotted" w:color="auto" w:sz="8" w:space="0"/>
              <w:bottom w:val="single" w:color="8064A2" w:sz="8" w:space="0"/>
              <w:right w:val="single" w:color="8064A2" w:sz="8" w:space="0"/>
            </w:tcBorders>
            <w:shd w:val="clear" w:color="auto" w:fill="EDEAF0"/>
            <w:noWrap w:val="0"/>
            <w:vAlign w:val="center"/>
          </w:tcPr>
          <w:p>
            <w:pPr>
              <w:widowControl/>
              <w:jc w:val="center"/>
              <w:textAlignment w:val="center"/>
              <w:rPr>
                <w:rFonts w:ascii="仿宋_GB2312" w:hAnsi="宋体" w:eastAsia="仿宋_GB2312" w:cs="宋体"/>
                <w:color w:val="000000"/>
                <w:sz w:val="22"/>
              </w:rPr>
            </w:pPr>
            <w:r>
              <w:rPr>
                <w:rFonts w:hint="eastAsia" w:ascii="仿宋_GB2312" w:hAnsi="宋体" w:eastAsia="仿宋_GB2312" w:cs="宋体"/>
                <w:color w:val="000000"/>
                <w:sz w:val="22"/>
              </w:rPr>
              <w:t>3.78%</w:t>
            </w:r>
          </w:p>
        </w:tc>
      </w:tr>
      <w:tr>
        <w:tblPrEx>
          <w:tblCellMar>
            <w:top w:w="15" w:type="dxa"/>
            <w:left w:w="15" w:type="dxa"/>
            <w:bottom w:w="15" w:type="dxa"/>
            <w:right w:w="15" w:type="dxa"/>
          </w:tblCellMar>
        </w:tblPrEx>
        <w:trPr>
          <w:trHeight w:val="539" w:hRule="atLeast"/>
        </w:trPr>
        <w:tc>
          <w:tcPr>
            <w:tcW w:w="1008" w:type="dxa"/>
            <w:vMerge w:val="continue"/>
            <w:tcBorders>
              <w:top w:val="single" w:color="8064A2" w:sz="8" w:space="0"/>
              <w:left w:val="single" w:color="8064A2" w:sz="8" w:space="0"/>
              <w:bottom w:val="single" w:color="8064A2" w:sz="8" w:space="0"/>
              <w:right w:val="dotted" w:color="auto" w:sz="8" w:space="0"/>
            </w:tcBorders>
            <w:shd w:val="clear" w:color="auto" w:fill="EDEAF0"/>
            <w:noWrap w:val="0"/>
            <w:textDirection w:val="tbRlV"/>
            <w:vAlign w:val="center"/>
          </w:tcPr>
          <w:p>
            <w:pPr>
              <w:jc w:val="center"/>
              <w:rPr>
                <w:rFonts w:ascii="宋体" w:hAnsi="宋体" w:eastAsia="宋体" w:cs="宋体"/>
                <w:b/>
                <w:color w:val="000000"/>
                <w:sz w:val="22"/>
              </w:rPr>
            </w:pPr>
          </w:p>
        </w:tc>
        <w:tc>
          <w:tcPr>
            <w:tcW w:w="3260"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cs="宋体"/>
                <w:b/>
                <w:color w:val="000000"/>
                <w:sz w:val="24"/>
                <w:szCs w:val="24"/>
              </w:rPr>
            </w:pPr>
            <w:r>
              <w:rPr>
                <w:rFonts w:hint="eastAsia" w:ascii="仿宋_GB2312" w:hAnsi="宋体" w:eastAsia="仿宋_GB2312" w:cs="宋体"/>
                <w:b/>
                <w:color w:val="000000"/>
                <w:kern w:val="0"/>
                <w:sz w:val="24"/>
                <w:szCs w:val="24"/>
              </w:rPr>
              <w:t>合计</w:t>
            </w:r>
          </w:p>
        </w:tc>
        <w:tc>
          <w:tcPr>
            <w:tcW w:w="1984"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b/>
                <w:color w:val="000000"/>
                <w:sz w:val="24"/>
                <w:szCs w:val="24"/>
              </w:rPr>
            </w:pPr>
            <w:r>
              <w:rPr>
                <w:rFonts w:hint="eastAsia" w:ascii="仿宋_GB2312" w:hAnsi="宋体" w:eastAsia="仿宋_GB2312"/>
                <w:b/>
                <w:color w:val="000000"/>
                <w:sz w:val="24"/>
                <w:szCs w:val="24"/>
              </w:rPr>
              <w:t>214</w:t>
            </w:r>
          </w:p>
        </w:tc>
        <w:tc>
          <w:tcPr>
            <w:tcW w:w="1985" w:type="dxa"/>
            <w:tcBorders>
              <w:top w:val="single" w:color="8064A2" w:sz="8" w:space="0"/>
              <w:left w:val="dotted" w:color="auto" w:sz="8" w:space="0"/>
              <w:bottom w:val="single" w:color="8064A2" w:sz="8" w:space="0"/>
              <w:right w:val="single" w:color="8064A2" w:sz="8" w:space="0"/>
            </w:tcBorders>
            <w:shd w:val="clear" w:color="auto" w:fill="EDEAF0"/>
            <w:noWrap w:val="0"/>
            <w:vAlign w:val="center"/>
          </w:tcPr>
          <w:p>
            <w:pPr>
              <w:widowControl/>
              <w:jc w:val="center"/>
              <w:textAlignment w:val="center"/>
              <w:rPr>
                <w:rFonts w:ascii="仿宋_GB2312" w:hAnsi="宋体" w:eastAsia="仿宋_GB2312" w:cs="宋体"/>
                <w:b/>
                <w:color w:val="000000"/>
                <w:sz w:val="22"/>
              </w:rPr>
            </w:pPr>
            <w:r>
              <w:rPr>
                <w:rFonts w:hint="eastAsia" w:ascii="仿宋_GB2312" w:hAnsi="宋体" w:eastAsia="仿宋_GB2312" w:cs="宋体"/>
                <w:b/>
                <w:color w:val="000000"/>
                <w:sz w:val="22"/>
              </w:rPr>
              <w:t>8.88%</w:t>
            </w:r>
          </w:p>
        </w:tc>
      </w:tr>
      <w:tr>
        <w:tblPrEx>
          <w:tblCellMar>
            <w:top w:w="15" w:type="dxa"/>
            <w:left w:w="15" w:type="dxa"/>
            <w:bottom w:w="15" w:type="dxa"/>
            <w:right w:w="15" w:type="dxa"/>
          </w:tblCellMar>
        </w:tblPrEx>
        <w:trPr>
          <w:trHeight w:val="539" w:hRule="atLeast"/>
        </w:trPr>
        <w:tc>
          <w:tcPr>
            <w:tcW w:w="1008" w:type="dxa"/>
            <w:vMerge w:val="restart"/>
            <w:tcBorders>
              <w:top w:val="single" w:color="8064A2" w:sz="8" w:space="0"/>
              <w:left w:val="single" w:color="8064A2" w:sz="8" w:space="0"/>
              <w:bottom w:val="single" w:color="8064A2" w:sz="8" w:space="0"/>
              <w:right w:val="dotted" w:color="auto" w:sz="8" w:space="0"/>
            </w:tcBorders>
            <w:shd w:val="clear" w:color="auto" w:fill="FFFFFF"/>
            <w:noWrap w:val="0"/>
            <w:textDirection w:val="tbRlV"/>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外国语学院</w:t>
            </w:r>
          </w:p>
        </w:tc>
        <w:tc>
          <w:tcPr>
            <w:tcW w:w="3260" w:type="dxa"/>
            <w:tcBorders>
              <w:top w:val="single" w:color="8064A2" w:sz="8" w:space="0"/>
              <w:left w:val="dotted" w:color="auto" w:sz="8" w:space="0"/>
              <w:bottom w:val="single" w:color="8064A2" w:sz="8" w:space="0"/>
              <w:right w:val="dotted" w:color="auto" w:sz="8" w:space="0"/>
            </w:tcBorders>
            <w:shd w:val="clear" w:color="auto" w:fill="FFFFFF"/>
            <w:noWrap w:val="0"/>
            <w:vAlign w:val="center"/>
          </w:tcPr>
          <w:p>
            <w:pPr>
              <w:widowControl/>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rPr>
              <w:t>翻译</w:t>
            </w:r>
          </w:p>
        </w:tc>
        <w:tc>
          <w:tcPr>
            <w:tcW w:w="1984" w:type="dxa"/>
            <w:tcBorders>
              <w:top w:val="single" w:color="8064A2" w:sz="8" w:space="0"/>
              <w:left w:val="dotted" w:color="auto" w:sz="8" w:space="0"/>
              <w:bottom w:val="single" w:color="8064A2" w:sz="8" w:space="0"/>
              <w:right w:val="dotted" w:color="auto" w:sz="8" w:space="0"/>
            </w:tcBorders>
            <w:shd w:val="clear" w:color="auto" w:fill="FFFFFF"/>
            <w:noWrap w:val="0"/>
            <w:vAlign w:val="center"/>
          </w:tcPr>
          <w:p>
            <w:pPr>
              <w:widowControl/>
              <w:jc w:val="center"/>
              <w:textAlignment w:val="center"/>
              <w:rPr>
                <w:rFonts w:ascii="仿宋_GB2312" w:hAnsi="宋体" w:eastAsia="仿宋_GB2312"/>
                <w:color w:val="000000"/>
                <w:sz w:val="24"/>
                <w:szCs w:val="24"/>
              </w:rPr>
            </w:pPr>
            <w:r>
              <w:rPr>
                <w:rFonts w:hint="eastAsia" w:ascii="仿宋_GB2312" w:hAnsi="宋体" w:eastAsia="仿宋_GB2312"/>
                <w:color w:val="000000"/>
                <w:sz w:val="24"/>
                <w:szCs w:val="24"/>
              </w:rPr>
              <w:t>36</w:t>
            </w:r>
          </w:p>
        </w:tc>
        <w:tc>
          <w:tcPr>
            <w:tcW w:w="1985" w:type="dxa"/>
            <w:tcBorders>
              <w:top w:val="single" w:color="8064A2" w:sz="8" w:space="0"/>
              <w:left w:val="dotted" w:color="auto" w:sz="8" w:space="0"/>
              <w:bottom w:val="single" w:color="8064A2" w:sz="8" w:space="0"/>
              <w:right w:val="single" w:color="8064A2" w:sz="8" w:space="0"/>
            </w:tcBorders>
            <w:shd w:val="clear" w:color="auto" w:fill="FFFFFF"/>
            <w:noWrap w:val="0"/>
            <w:vAlign w:val="center"/>
          </w:tcPr>
          <w:p>
            <w:pPr>
              <w:widowControl/>
              <w:jc w:val="center"/>
              <w:textAlignment w:val="center"/>
              <w:rPr>
                <w:rFonts w:ascii="仿宋_GB2312" w:hAnsi="宋体" w:eastAsia="仿宋_GB2312" w:cs="宋体"/>
                <w:color w:val="000000"/>
                <w:sz w:val="22"/>
              </w:rPr>
            </w:pPr>
            <w:r>
              <w:rPr>
                <w:rFonts w:hint="eastAsia" w:ascii="仿宋_GB2312" w:hAnsi="宋体" w:eastAsia="仿宋_GB2312" w:cs="宋体"/>
                <w:color w:val="000000"/>
                <w:sz w:val="22"/>
              </w:rPr>
              <w:t>1.49%</w:t>
            </w:r>
          </w:p>
        </w:tc>
      </w:tr>
      <w:tr>
        <w:tblPrEx>
          <w:tblCellMar>
            <w:top w:w="15" w:type="dxa"/>
            <w:left w:w="15" w:type="dxa"/>
            <w:bottom w:w="15" w:type="dxa"/>
            <w:right w:w="15" w:type="dxa"/>
          </w:tblCellMar>
        </w:tblPrEx>
        <w:trPr>
          <w:trHeight w:val="539" w:hRule="atLeast"/>
        </w:trPr>
        <w:tc>
          <w:tcPr>
            <w:tcW w:w="1008" w:type="dxa"/>
            <w:vMerge w:val="continue"/>
            <w:tcBorders>
              <w:top w:val="single" w:color="8064A2" w:sz="8" w:space="0"/>
              <w:left w:val="single" w:color="8064A2" w:sz="8" w:space="0"/>
              <w:bottom w:val="single" w:color="8064A2" w:sz="8" w:space="0"/>
              <w:right w:val="dotted" w:color="auto" w:sz="8" w:space="0"/>
            </w:tcBorders>
            <w:shd w:val="clear" w:color="auto" w:fill="EDEAF0"/>
            <w:noWrap w:val="0"/>
            <w:textDirection w:val="tbRlV"/>
            <w:vAlign w:val="center"/>
          </w:tcPr>
          <w:p>
            <w:pPr>
              <w:jc w:val="center"/>
              <w:rPr>
                <w:rFonts w:ascii="宋体" w:hAnsi="宋体" w:cs="宋体"/>
                <w:b/>
                <w:color w:val="000000"/>
                <w:sz w:val="22"/>
              </w:rPr>
            </w:pPr>
          </w:p>
        </w:tc>
        <w:tc>
          <w:tcPr>
            <w:tcW w:w="3260"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rPr>
              <w:t>英语</w:t>
            </w:r>
          </w:p>
        </w:tc>
        <w:tc>
          <w:tcPr>
            <w:tcW w:w="1984"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color w:val="000000"/>
                <w:sz w:val="24"/>
                <w:szCs w:val="24"/>
              </w:rPr>
            </w:pPr>
            <w:r>
              <w:rPr>
                <w:rFonts w:hint="eastAsia" w:ascii="仿宋_GB2312" w:hAnsi="宋体" w:eastAsia="仿宋_GB2312"/>
                <w:color w:val="000000"/>
                <w:sz w:val="24"/>
                <w:szCs w:val="24"/>
              </w:rPr>
              <w:t>77</w:t>
            </w:r>
          </w:p>
        </w:tc>
        <w:tc>
          <w:tcPr>
            <w:tcW w:w="1985" w:type="dxa"/>
            <w:tcBorders>
              <w:top w:val="single" w:color="8064A2" w:sz="8" w:space="0"/>
              <w:left w:val="dotted" w:color="auto" w:sz="8" w:space="0"/>
              <w:bottom w:val="single" w:color="8064A2" w:sz="8" w:space="0"/>
              <w:right w:val="single" w:color="8064A2" w:sz="8" w:space="0"/>
            </w:tcBorders>
            <w:shd w:val="clear" w:color="auto" w:fill="EDEAF0"/>
            <w:noWrap w:val="0"/>
            <w:vAlign w:val="center"/>
          </w:tcPr>
          <w:p>
            <w:pPr>
              <w:widowControl/>
              <w:jc w:val="center"/>
              <w:textAlignment w:val="center"/>
              <w:rPr>
                <w:rFonts w:ascii="仿宋_GB2312" w:hAnsi="宋体" w:eastAsia="仿宋_GB2312" w:cs="宋体"/>
                <w:color w:val="000000"/>
                <w:sz w:val="22"/>
              </w:rPr>
            </w:pPr>
            <w:r>
              <w:rPr>
                <w:rFonts w:hint="eastAsia" w:ascii="仿宋_GB2312" w:hAnsi="宋体" w:eastAsia="仿宋_GB2312" w:cs="宋体"/>
                <w:color w:val="000000"/>
                <w:sz w:val="22"/>
              </w:rPr>
              <w:t>3.19%</w:t>
            </w:r>
          </w:p>
        </w:tc>
      </w:tr>
      <w:tr>
        <w:tblPrEx>
          <w:tblCellMar>
            <w:top w:w="15" w:type="dxa"/>
            <w:left w:w="15" w:type="dxa"/>
            <w:bottom w:w="15" w:type="dxa"/>
            <w:right w:w="15" w:type="dxa"/>
          </w:tblCellMar>
        </w:tblPrEx>
        <w:trPr>
          <w:trHeight w:val="539" w:hRule="atLeast"/>
        </w:trPr>
        <w:tc>
          <w:tcPr>
            <w:tcW w:w="1008" w:type="dxa"/>
            <w:vMerge w:val="continue"/>
            <w:tcBorders>
              <w:top w:val="single" w:color="8064A2" w:sz="8" w:space="0"/>
              <w:left w:val="single" w:color="8064A2" w:sz="8" w:space="0"/>
              <w:bottom w:val="single" w:color="8064A2" w:sz="8" w:space="0"/>
              <w:right w:val="dotted" w:color="auto" w:sz="8" w:space="0"/>
            </w:tcBorders>
            <w:shd w:val="clear" w:color="auto" w:fill="EDEAF0"/>
            <w:noWrap w:val="0"/>
            <w:textDirection w:val="tbRlV"/>
            <w:vAlign w:val="center"/>
          </w:tcPr>
          <w:p>
            <w:pPr>
              <w:jc w:val="center"/>
              <w:rPr>
                <w:rFonts w:ascii="宋体" w:hAnsi="宋体" w:cs="宋体"/>
                <w:b/>
                <w:color w:val="000000"/>
                <w:sz w:val="22"/>
              </w:rPr>
            </w:pPr>
          </w:p>
        </w:tc>
        <w:tc>
          <w:tcPr>
            <w:tcW w:w="3260"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商务英语</w:t>
            </w:r>
          </w:p>
        </w:tc>
        <w:tc>
          <w:tcPr>
            <w:tcW w:w="1984"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color w:val="000000"/>
                <w:sz w:val="24"/>
                <w:szCs w:val="24"/>
              </w:rPr>
            </w:pPr>
            <w:r>
              <w:rPr>
                <w:rFonts w:hint="eastAsia" w:ascii="仿宋_GB2312" w:hAnsi="宋体" w:eastAsia="仿宋_GB2312"/>
                <w:color w:val="000000"/>
                <w:sz w:val="24"/>
                <w:szCs w:val="24"/>
              </w:rPr>
              <w:t>79</w:t>
            </w:r>
          </w:p>
        </w:tc>
        <w:tc>
          <w:tcPr>
            <w:tcW w:w="1985" w:type="dxa"/>
            <w:tcBorders>
              <w:top w:val="single" w:color="8064A2" w:sz="8" w:space="0"/>
              <w:left w:val="dotted" w:color="auto" w:sz="8" w:space="0"/>
              <w:bottom w:val="single" w:color="8064A2" w:sz="8" w:space="0"/>
              <w:right w:val="single" w:color="8064A2" w:sz="8" w:space="0"/>
            </w:tcBorders>
            <w:shd w:val="clear" w:color="auto" w:fill="EDEAF0"/>
            <w:noWrap w:val="0"/>
            <w:vAlign w:val="center"/>
          </w:tcPr>
          <w:p>
            <w:pPr>
              <w:widowControl/>
              <w:jc w:val="center"/>
              <w:textAlignment w:val="center"/>
              <w:rPr>
                <w:rFonts w:ascii="仿宋_GB2312" w:hAnsi="宋体" w:eastAsia="仿宋_GB2312" w:cs="宋体"/>
                <w:color w:val="000000"/>
                <w:sz w:val="22"/>
              </w:rPr>
            </w:pPr>
            <w:r>
              <w:rPr>
                <w:rFonts w:hint="eastAsia" w:ascii="仿宋_GB2312" w:hAnsi="宋体" w:eastAsia="仿宋_GB2312" w:cs="宋体"/>
                <w:color w:val="000000"/>
                <w:sz w:val="22"/>
              </w:rPr>
              <w:t>3.28%</w:t>
            </w:r>
          </w:p>
        </w:tc>
      </w:tr>
      <w:tr>
        <w:tblPrEx>
          <w:tblCellMar>
            <w:top w:w="15" w:type="dxa"/>
            <w:left w:w="15" w:type="dxa"/>
            <w:bottom w:w="15" w:type="dxa"/>
            <w:right w:w="15" w:type="dxa"/>
          </w:tblCellMar>
        </w:tblPrEx>
        <w:trPr>
          <w:trHeight w:val="539" w:hRule="atLeast"/>
        </w:trPr>
        <w:tc>
          <w:tcPr>
            <w:tcW w:w="1008" w:type="dxa"/>
            <w:vMerge w:val="continue"/>
            <w:tcBorders>
              <w:top w:val="single" w:color="8064A2" w:sz="8" w:space="0"/>
              <w:left w:val="single" w:color="8064A2" w:sz="8" w:space="0"/>
              <w:bottom w:val="single" w:color="8064A2" w:sz="8" w:space="0"/>
              <w:right w:val="dotted" w:color="auto" w:sz="8" w:space="0"/>
            </w:tcBorders>
            <w:shd w:val="clear" w:color="auto" w:fill="FFFFFF"/>
            <w:noWrap w:val="0"/>
            <w:textDirection w:val="tbRlV"/>
            <w:vAlign w:val="center"/>
          </w:tcPr>
          <w:p>
            <w:pPr>
              <w:jc w:val="center"/>
              <w:rPr>
                <w:rFonts w:ascii="宋体" w:hAnsi="宋体" w:cs="宋体"/>
                <w:b/>
                <w:color w:val="000000"/>
                <w:sz w:val="22"/>
              </w:rPr>
            </w:pPr>
          </w:p>
        </w:tc>
        <w:tc>
          <w:tcPr>
            <w:tcW w:w="3260" w:type="dxa"/>
            <w:tcBorders>
              <w:top w:val="single" w:color="8064A2" w:sz="8" w:space="0"/>
              <w:left w:val="dotted" w:color="auto" w:sz="8" w:space="0"/>
              <w:bottom w:val="single" w:color="8064A2" w:sz="8" w:space="0"/>
              <w:right w:val="dotted" w:color="auto" w:sz="8" w:space="0"/>
            </w:tcBorders>
            <w:shd w:val="clear" w:color="auto" w:fill="FFFFFF"/>
            <w:noWrap w:val="0"/>
            <w:vAlign w:val="center"/>
          </w:tcPr>
          <w:p>
            <w:pPr>
              <w:widowControl/>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rPr>
              <w:t>日语</w:t>
            </w:r>
          </w:p>
        </w:tc>
        <w:tc>
          <w:tcPr>
            <w:tcW w:w="1984" w:type="dxa"/>
            <w:tcBorders>
              <w:top w:val="single" w:color="8064A2" w:sz="8" w:space="0"/>
              <w:left w:val="dotted" w:color="auto" w:sz="8" w:space="0"/>
              <w:bottom w:val="single" w:color="8064A2" w:sz="8" w:space="0"/>
              <w:right w:val="dotted" w:color="auto" w:sz="8" w:space="0"/>
            </w:tcBorders>
            <w:shd w:val="clear" w:color="auto" w:fill="FFFFFF"/>
            <w:noWrap w:val="0"/>
            <w:vAlign w:val="center"/>
          </w:tcPr>
          <w:p>
            <w:pPr>
              <w:widowControl/>
              <w:jc w:val="center"/>
              <w:textAlignment w:val="center"/>
              <w:rPr>
                <w:rFonts w:ascii="仿宋_GB2312" w:hAnsi="宋体" w:eastAsia="仿宋_GB2312"/>
                <w:color w:val="000000"/>
                <w:sz w:val="24"/>
                <w:szCs w:val="24"/>
              </w:rPr>
            </w:pPr>
            <w:r>
              <w:rPr>
                <w:rFonts w:hint="eastAsia" w:ascii="仿宋_GB2312" w:hAnsi="宋体" w:eastAsia="仿宋_GB2312"/>
                <w:color w:val="000000"/>
                <w:sz w:val="24"/>
                <w:szCs w:val="24"/>
              </w:rPr>
              <w:t>34</w:t>
            </w:r>
          </w:p>
        </w:tc>
        <w:tc>
          <w:tcPr>
            <w:tcW w:w="1985" w:type="dxa"/>
            <w:tcBorders>
              <w:top w:val="single" w:color="8064A2" w:sz="8" w:space="0"/>
              <w:left w:val="dotted" w:color="auto" w:sz="8" w:space="0"/>
              <w:bottom w:val="single" w:color="8064A2" w:sz="8" w:space="0"/>
              <w:right w:val="single" w:color="8064A2" w:sz="8" w:space="0"/>
            </w:tcBorders>
            <w:shd w:val="clear" w:color="auto" w:fill="FFFFFF"/>
            <w:noWrap w:val="0"/>
            <w:vAlign w:val="center"/>
          </w:tcPr>
          <w:p>
            <w:pPr>
              <w:widowControl/>
              <w:jc w:val="center"/>
              <w:textAlignment w:val="center"/>
              <w:rPr>
                <w:rFonts w:ascii="仿宋_GB2312" w:hAnsi="宋体" w:eastAsia="仿宋_GB2312" w:cs="宋体"/>
                <w:color w:val="000000"/>
                <w:sz w:val="22"/>
              </w:rPr>
            </w:pPr>
            <w:r>
              <w:rPr>
                <w:rFonts w:hint="eastAsia" w:ascii="仿宋_GB2312" w:hAnsi="宋体" w:eastAsia="仿宋_GB2312" w:cs="宋体"/>
                <w:color w:val="000000"/>
                <w:sz w:val="22"/>
              </w:rPr>
              <w:t>1.41%</w:t>
            </w:r>
          </w:p>
        </w:tc>
      </w:tr>
      <w:tr>
        <w:tblPrEx>
          <w:tblCellMar>
            <w:top w:w="15" w:type="dxa"/>
            <w:left w:w="15" w:type="dxa"/>
            <w:bottom w:w="15" w:type="dxa"/>
            <w:right w:w="15" w:type="dxa"/>
          </w:tblCellMar>
        </w:tblPrEx>
        <w:trPr>
          <w:trHeight w:val="539" w:hRule="atLeast"/>
        </w:trPr>
        <w:tc>
          <w:tcPr>
            <w:tcW w:w="1008" w:type="dxa"/>
            <w:vMerge w:val="continue"/>
            <w:tcBorders>
              <w:top w:val="single" w:color="8064A2" w:sz="8" w:space="0"/>
              <w:left w:val="single" w:color="8064A2" w:sz="8" w:space="0"/>
              <w:bottom w:val="single" w:color="8064A2" w:sz="8" w:space="0"/>
              <w:right w:val="dotted" w:color="auto" w:sz="8" w:space="0"/>
            </w:tcBorders>
            <w:shd w:val="clear" w:color="auto" w:fill="EDEAF0"/>
            <w:noWrap w:val="0"/>
            <w:textDirection w:val="tbRlV"/>
            <w:vAlign w:val="center"/>
          </w:tcPr>
          <w:p>
            <w:pPr>
              <w:jc w:val="center"/>
              <w:rPr>
                <w:rFonts w:ascii="宋体" w:hAnsi="宋体" w:cs="宋体"/>
                <w:b/>
                <w:color w:val="000000"/>
                <w:sz w:val="22"/>
              </w:rPr>
            </w:pPr>
          </w:p>
        </w:tc>
        <w:tc>
          <w:tcPr>
            <w:tcW w:w="3260"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cs="宋体"/>
                <w:b/>
                <w:color w:val="000000"/>
                <w:sz w:val="24"/>
                <w:szCs w:val="24"/>
              </w:rPr>
            </w:pPr>
            <w:r>
              <w:rPr>
                <w:rFonts w:hint="eastAsia" w:ascii="仿宋_GB2312" w:hAnsi="宋体" w:eastAsia="仿宋_GB2312" w:cs="宋体"/>
                <w:b/>
                <w:color w:val="000000"/>
                <w:kern w:val="0"/>
                <w:sz w:val="24"/>
                <w:szCs w:val="24"/>
              </w:rPr>
              <w:t>合计</w:t>
            </w:r>
          </w:p>
        </w:tc>
        <w:tc>
          <w:tcPr>
            <w:tcW w:w="1984"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b/>
                <w:color w:val="000000"/>
                <w:sz w:val="24"/>
                <w:szCs w:val="24"/>
              </w:rPr>
            </w:pPr>
            <w:r>
              <w:rPr>
                <w:rFonts w:hint="eastAsia" w:ascii="仿宋_GB2312" w:hAnsi="宋体" w:eastAsia="仿宋_GB2312"/>
                <w:b/>
                <w:color w:val="000000"/>
                <w:sz w:val="24"/>
                <w:szCs w:val="24"/>
              </w:rPr>
              <w:t>226</w:t>
            </w:r>
          </w:p>
        </w:tc>
        <w:tc>
          <w:tcPr>
            <w:tcW w:w="1985" w:type="dxa"/>
            <w:tcBorders>
              <w:top w:val="single" w:color="8064A2" w:sz="8" w:space="0"/>
              <w:left w:val="dotted" w:color="auto" w:sz="8" w:space="0"/>
              <w:bottom w:val="single" w:color="8064A2" w:sz="8" w:space="0"/>
              <w:right w:val="single" w:color="8064A2" w:sz="8" w:space="0"/>
            </w:tcBorders>
            <w:shd w:val="clear" w:color="auto" w:fill="EDEAF0"/>
            <w:noWrap w:val="0"/>
            <w:vAlign w:val="center"/>
          </w:tcPr>
          <w:p>
            <w:pPr>
              <w:widowControl/>
              <w:jc w:val="center"/>
              <w:textAlignment w:val="center"/>
              <w:rPr>
                <w:rFonts w:ascii="仿宋_GB2312" w:hAnsi="宋体" w:eastAsia="仿宋_GB2312" w:cs="宋体"/>
                <w:b/>
                <w:color w:val="000000"/>
                <w:sz w:val="22"/>
              </w:rPr>
            </w:pPr>
            <w:r>
              <w:rPr>
                <w:rFonts w:hint="eastAsia" w:ascii="仿宋_GB2312" w:hAnsi="宋体" w:eastAsia="仿宋_GB2312" w:cs="宋体"/>
                <w:b/>
                <w:color w:val="000000"/>
                <w:sz w:val="22"/>
              </w:rPr>
              <w:t>9.37%</w:t>
            </w:r>
          </w:p>
        </w:tc>
      </w:tr>
      <w:tr>
        <w:tblPrEx>
          <w:tblCellMar>
            <w:top w:w="15" w:type="dxa"/>
            <w:left w:w="15" w:type="dxa"/>
            <w:bottom w:w="15" w:type="dxa"/>
            <w:right w:w="15" w:type="dxa"/>
          </w:tblCellMar>
        </w:tblPrEx>
        <w:trPr>
          <w:trHeight w:val="539" w:hRule="atLeast"/>
        </w:trPr>
        <w:tc>
          <w:tcPr>
            <w:tcW w:w="1008" w:type="dxa"/>
            <w:vMerge w:val="restart"/>
            <w:tcBorders>
              <w:top w:val="single" w:color="8064A2" w:sz="8" w:space="0"/>
              <w:left w:val="single" w:color="8064A2" w:sz="8" w:space="0"/>
              <w:bottom w:val="single" w:color="8064A2" w:sz="8" w:space="0"/>
              <w:right w:val="dotted" w:color="auto" w:sz="8" w:space="0"/>
            </w:tcBorders>
            <w:shd w:val="clear" w:color="auto" w:fill="FFFFFF"/>
            <w:noWrap w:val="0"/>
            <w:textDirection w:val="tbRlV"/>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工商管理学院</w:t>
            </w:r>
          </w:p>
        </w:tc>
        <w:tc>
          <w:tcPr>
            <w:tcW w:w="3260" w:type="dxa"/>
            <w:tcBorders>
              <w:top w:val="single" w:color="8064A2" w:sz="8" w:space="0"/>
              <w:left w:val="dotted" w:color="auto" w:sz="8" w:space="0"/>
              <w:bottom w:val="single" w:color="8064A2" w:sz="8" w:space="0"/>
              <w:right w:val="dotted" w:color="auto" w:sz="8" w:space="0"/>
            </w:tcBorders>
            <w:shd w:val="clear" w:color="auto" w:fill="FFFFFF"/>
            <w:noWrap w:val="0"/>
            <w:vAlign w:val="center"/>
          </w:tcPr>
          <w:p>
            <w:pPr>
              <w:widowControl/>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rPr>
              <w:t>人力资源管理</w:t>
            </w:r>
          </w:p>
        </w:tc>
        <w:tc>
          <w:tcPr>
            <w:tcW w:w="1984" w:type="dxa"/>
            <w:tcBorders>
              <w:top w:val="single" w:color="8064A2" w:sz="8" w:space="0"/>
              <w:left w:val="dotted" w:color="auto" w:sz="8" w:space="0"/>
              <w:bottom w:val="single" w:color="8064A2" w:sz="8" w:space="0"/>
              <w:right w:val="dotted" w:color="auto" w:sz="8" w:space="0"/>
            </w:tcBorders>
            <w:shd w:val="clear" w:color="auto" w:fill="FFFFFF"/>
            <w:noWrap w:val="0"/>
            <w:vAlign w:val="center"/>
          </w:tcPr>
          <w:p>
            <w:pPr>
              <w:widowControl/>
              <w:jc w:val="center"/>
              <w:textAlignment w:val="center"/>
              <w:rPr>
                <w:rFonts w:ascii="仿宋_GB2312" w:hAnsi="宋体" w:eastAsia="仿宋_GB2312"/>
                <w:color w:val="000000"/>
                <w:sz w:val="24"/>
                <w:szCs w:val="24"/>
              </w:rPr>
            </w:pPr>
            <w:r>
              <w:rPr>
                <w:rFonts w:hint="eastAsia" w:ascii="仿宋_GB2312" w:hAnsi="宋体" w:eastAsia="仿宋_GB2312"/>
                <w:color w:val="000000"/>
                <w:sz w:val="24"/>
                <w:szCs w:val="24"/>
              </w:rPr>
              <w:t>135</w:t>
            </w:r>
          </w:p>
        </w:tc>
        <w:tc>
          <w:tcPr>
            <w:tcW w:w="1985" w:type="dxa"/>
            <w:tcBorders>
              <w:top w:val="single" w:color="8064A2" w:sz="8" w:space="0"/>
              <w:left w:val="dotted" w:color="auto" w:sz="8" w:space="0"/>
              <w:bottom w:val="single" w:color="8064A2" w:sz="8" w:space="0"/>
              <w:right w:val="single" w:color="8064A2" w:sz="8" w:space="0"/>
            </w:tcBorders>
            <w:shd w:val="clear" w:color="auto" w:fill="FFFFFF"/>
            <w:noWrap w:val="0"/>
            <w:vAlign w:val="center"/>
          </w:tcPr>
          <w:p>
            <w:pPr>
              <w:widowControl/>
              <w:jc w:val="center"/>
              <w:textAlignment w:val="center"/>
              <w:rPr>
                <w:rFonts w:ascii="仿宋_GB2312" w:hAnsi="宋体" w:eastAsia="仿宋_GB2312" w:cs="宋体"/>
                <w:color w:val="000000"/>
                <w:sz w:val="22"/>
              </w:rPr>
            </w:pPr>
            <w:r>
              <w:rPr>
                <w:rFonts w:hint="eastAsia" w:ascii="仿宋_GB2312" w:hAnsi="宋体" w:eastAsia="仿宋_GB2312" w:cs="宋体"/>
                <w:color w:val="000000"/>
                <w:sz w:val="22"/>
              </w:rPr>
              <w:t>5.60%</w:t>
            </w:r>
          </w:p>
        </w:tc>
      </w:tr>
      <w:tr>
        <w:tblPrEx>
          <w:tblCellMar>
            <w:top w:w="15" w:type="dxa"/>
            <w:left w:w="15" w:type="dxa"/>
            <w:bottom w:w="15" w:type="dxa"/>
            <w:right w:w="15" w:type="dxa"/>
          </w:tblCellMar>
        </w:tblPrEx>
        <w:trPr>
          <w:trHeight w:val="539" w:hRule="atLeast"/>
        </w:trPr>
        <w:tc>
          <w:tcPr>
            <w:tcW w:w="1008" w:type="dxa"/>
            <w:vMerge w:val="continue"/>
            <w:tcBorders>
              <w:top w:val="single" w:color="8064A2" w:sz="8" w:space="0"/>
              <w:left w:val="single" w:color="8064A2" w:sz="8" w:space="0"/>
              <w:bottom w:val="single" w:color="8064A2" w:sz="8" w:space="0"/>
              <w:right w:val="dotted" w:color="auto" w:sz="8" w:space="0"/>
            </w:tcBorders>
            <w:shd w:val="clear" w:color="auto" w:fill="EDEAF0"/>
            <w:noWrap w:val="0"/>
            <w:textDirection w:val="tbRlV"/>
            <w:vAlign w:val="center"/>
          </w:tcPr>
          <w:p>
            <w:pPr>
              <w:jc w:val="center"/>
              <w:rPr>
                <w:rFonts w:ascii="宋体" w:hAnsi="宋体" w:eastAsia="宋体" w:cs="宋体"/>
                <w:b/>
                <w:color w:val="000000"/>
                <w:sz w:val="22"/>
              </w:rPr>
            </w:pPr>
          </w:p>
        </w:tc>
        <w:tc>
          <w:tcPr>
            <w:tcW w:w="3260"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rPr>
              <w:t>市场营销</w:t>
            </w:r>
          </w:p>
        </w:tc>
        <w:tc>
          <w:tcPr>
            <w:tcW w:w="1984"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color w:val="000000"/>
                <w:sz w:val="24"/>
                <w:szCs w:val="24"/>
              </w:rPr>
            </w:pPr>
            <w:r>
              <w:rPr>
                <w:rFonts w:hint="eastAsia" w:ascii="仿宋_GB2312" w:hAnsi="宋体" w:eastAsia="仿宋_GB2312"/>
                <w:color w:val="000000"/>
                <w:sz w:val="24"/>
                <w:szCs w:val="24"/>
              </w:rPr>
              <w:t>113</w:t>
            </w:r>
          </w:p>
        </w:tc>
        <w:tc>
          <w:tcPr>
            <w:tcW w:w="1985" w:type="dxa"/>
            <w:tcBorders>
              <w:top w:val="single" w:color="8064A2" w:sz="8" w:space="0"/>
              <w:left w:val="dotted" w:color="auto" w:sz="8" w:space="0"/>
              <w:bottom w:val="single" w:color="8064A2" w:sz="8" w:space="0"/>
              <w:right w:val="single" w:color="8064A2" w:sz="8" w:space="0"/>
            </w:tcBorders>
            <w:shd w:val="clear" w:color="auto" w:fill="EDEAF0"/>
            <w:noWrap w:val="0"/>
            <w:vAlign w:val="center"/>
          </w:tcPr>
          <w:p>
            <w:pPr>
              <w:widowControl/>
              <w:jc w:val="center"/>
              <w:textAlignment w:val="center"/>
              <w:rPr>
                <w:rFonts w:ascii="仿宋_GB2312" w:hAnsi="宋体" w:eastAsia="仿宋_GB2312" w:cs="宋体"/>
                <w:color w:val="000000"/>
                <w:sz w:val="22"/>
              </w:rPr>
            </w:pPr>
            <w:r>
              <w:rPr>
                <w:rFonts w:hint="eastAsia" w:ascii="仿宋_GB2312" w:hAnsi="宋体" w:eastAsia="仿宋_GB2312" w:cs="宋体"/>
                <w:color w:val="000000"/>
                <w:sz w:val="22"/>
              </w:rPr>
              <w:t>4.69%</w:t>
            </w:r>
          </w:p>
        </w:tc>
      </w:tr>
      <w:tr>
        <w:tblPrEx>
          <w:tblCellMar>
            <w:top w:w="15" w:type="dxa"/>
            <w:left w:w="15" w:type="dxa"/>
            <w:bottom w:w="15" w:type="dxa"/>
            <w:right w:w="15" w:type="dxa"/>
          </w:tblCellMar>
        </w:tblPrEx>
        <w:trPr>
          <w:trHeight w:val="539" w:hRule="atLeast"/>
        </w:trPr>
        <w:tc>
          <w:tcPr>
            <w:tcW w:w="1008" w:type="dxa"/>
            <w:vMerge w:val="continue"/>
            <w:tcBorders>
              <w:top w:val="single" w:color="8064A2" w:sz="8" w:space="0"/>
              <w:left w:val="single" w:color="8064A2" w:sz="8" w:space="0"/>
              <w:bottom w:val="single" w:color="8064A2" w:sz="8" w:space="0"/>
              <w:right w:val="dotted" w:color="auto" w:sz="8" w:space="0"/>
            </w:tcBorders>
            <w:shd w:val="clear" w:color="auto" w:fill="FFFFFF"/>
            <w:noWrap w:val="0"/>
            <w:textDirection w:val="tbRlV"/>
            <w:vAlign w:val="center"/>
          </w:tcPr>
          <w:p>
            <w:pPr>
              <w:jc w:val="center"/>
              <w:rPr>
                <w:rFonts w:ascii="宋体" w:hAnsi="宋体" w:eastAsia="宋体" w:cs="宋体"/>
                <w:b/>
                <w:color w:val="000000"/>
                <w:sz w:val="22"/>
              </w:rPr>
            </w:pPr>
          </w:p>
        </w:tc>
        <w:tc>
          <w:tcPr>
            <w:tcW w:w="3260" w:type="dxa"/>
            <w:tcBorders>
              <w:top w:val="single" w:color="8064A2" w:sz="8" w:space="0"/>
              <w:left w:val="dotted" w:color="auto" w:sz="8" w:space="0"/>
              <w:bottom w:val="single" w:color="8064A2" w:sz="8" w:space="0"/>
              <w:right w:val="dotted" w:color="auto" w:sz="8" w:space="0"/>
            </w:tcBorders>
            <w:shd w:val="clear" w:color="auto" w:fill="FFFFFF"/>
            <w:noWrap w:val="0"/>
            <w:vAlign w:val="center"/>
          </w:tcPr>
          <w:p>
            <w:pPr>
              <w:widowControl/>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sz w:val="24"/>
                <w:szCs w:val="24"/>
              </w:rPr>
              <w:t>物流管理</w:t>
            </w:r>
          </w:p>
        </w:tc>
        <w:tc>
          <w:tcPr>
            <w:tcW w:w="1984" w:type="dxa"/>
            <w:tcBorders>
              <w:top w:val="single" w:color="8064A2" w:sz="8" w:space="0"/>
              <w:left w:val="dotted" w:color="auto" w:sz="8" w:space="0"/>
              <w:bottom w:val="single" w:color="8064A2" w:sz="8" w:space="0"/>
              <w:right w:val="dotted" w:color="auto" w:sz="8" w:space="0"/>
            </w:tcBorders>
            <w:shd w:val="clear" w:color="auto" w:fill="FFFFFF"/>
            <w:noWrap w:val="0"/>
            <w:vAlign w:val="center"/>
          </w:tcPr>
          <w:p>
            <w:pPr>
              <w:widowControl/>
              <w:jc w:val="center"/>
              <w:textAlignment w:val="center"/>
              <w:rPr>
                <w:rFonts w:ascii="仿宋_GB2312" w:hAnsi="宋体" w:eastAsia="仿宋_GB2312"/>
                <w:color w:val="000000"/>
                <w:sz w:val="24"/>
                <w:szCs w:val="24"/>
              </w:rPr>
            </w:pPr>
            <w:r>
              <w:rPr>
                <w:rFonts w:hint="eastAsia" w:ascii="仿宋_GB2312" w:hAnsi="宋体" w:eastAsia="仿宋_GB2312"/>
                <w:color w:val="000000"/>
                <w:sz w:val="24"/>
                <w:szCs w:val="24"/>
              </w:rPr>
              <w:t>46</w:t>
            </w:r>
          </w:p>
        </w:tc>
        <w:tc>
          <w:tcPr>
            <w:tcW w:w="1985" w:type="dxa"/>
            <w:tcBorders>
              <w:top w:val="single" w:color="8064A2" w:sz="8" w:space="0"/>
              <w:left w:val="dotted" w:color="auto" w:sz="8" w:space="0"/>
              <w:bottom w:val="single" w:color="8064A2" w:sz="8" w:space="0"/>
              <w:right w:val="single" w:color="8064A2" w:sz="8" w:space="0"/>
            </w:tcBorders>
            <w:shd w:val="clear" w:color="auto" w:fill="FFFFFF"/>
            <w:noWrap w:val="0"/>
            <w:vAlign w:val="center"/>
          </w:tcPr>
          <w:p>
            <w:pPr>
              <w:widowControl/>
              <w:jc w:val="center"/>
              <w:textAlignment w:val="center"/>
              <w:rPr>
                <w:rFonts w:ascii="仿宋_GB2312" w:hAnsi="宋体" w:eastAsia="仿宋_GB2312" w:cs="宋体"/>
                <w:color w:val="000000"/>
                <w:sz w:val="22"/>
              </w:rPr>
            </w:pPr>
            <w:r>
              <w:rPr>
                <w:rFonts w:hint="eastAsia" w:ascii="仿宋_GB2312" w:hAnsi="宋体" w:eastAsia="仿宋_GB2312" w:cs="宋体"/>
                <w:color w:val="000000"/>
                <w:sz w:val="22"/>
              </w:rPr>
              <w:t>1.91%</w:t>
            </w:r>
          </w:p>
        </w:tc>
      </w:tr>
      <w:tr>
        <w:tblPrEx>
          <w:tblCellMar>
            <w:top w:w="15" w:type="dxa"/>
            <w:left w:w="15" w:type="dxa"/>
            <w:bottom w:w="15" w:type="dxa"/>
            <w:right w:w="15" w:type="dxa"/>
          </w:tblCellMar>
        </w:tblPrEx>
        <w:trPr>
          <w:trHeight w:val="539" w:hRule="atLeast"/>
        </w:trPr>
        <w:tc>
          <w:tcPr>
            <w:tcW w:w="1008" w:type="dxa"/>
            <w:vMerge w:val="continue"/>
            <w:tcBorders>
              <w:top w:val="single" w:color="8064A2" w:sz="8" w:space="0"/>
              <w:left w:val="single" w:color="8064A2" w:sz="8" w:space="0"/>
              <w:bottom w:val="single" w:color="8064A2" w:sz="8" w:space="0"/>
              <w:right w:val="dotted" w:color="auto" w:sz="8" w:space="0"/>
            </w:tcBorders>
            <w:shd w:val="clear" w:color="auto" w:fill="EDEAF0"/>
            <w:noWrap w:val="0"/>
            <w:textDirection w:val="tbRlV"/>
            <w:vAlign w:val="center"/>
          </w:tcPr>
          <w:p>
            <w:pPr>
              <w:jc w:val="center"/>
              <w:rPr>
                <w:rFonts w:ascii="宋体" w:hAnsi="宋体" w:eastAsia="宋体" w:cs="宋体"/>
                <w:b/>
                <w:color w:val="000000"/>
                <w:sz w:val="22"/>
              </w:rPr>
            </w:pPr>
          </w:p>
        </w:tc>
        <w:tc>
          <w:tcPr>
            <w:tcW w:w="3260"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cs="宋体"/>
                <w:b/>
                <w:color w:val="000000"/>
                <w:sz w:val="24"/>
                <w:szCs w:val="24"/>
              </w:rPr>
            </w:pPr>
            <w:r>
              <w:rPr>
                <w:rFonts w:hint="eastAsia" w:ascii="仿宋_GB2312" w:hAnsi="宋体" w:eastAsia="仿宋_GB2312" w:cs="宋体"/>
                <w:b/>
                <w:color w:val="000000"/>
                <w:kern w:val="0"/>
                <w:sz w:val="24"/>
                <w:szCs w:val="24"/>
              </w:rPr>
              <w:t>合计</w:t>
            </w:r>
          </w:p>
        </w:tc>
        <w:tc>
          <w:tcPr>
            <w:tcW w:w="1984"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b/>
                <w:color w:val="000000"/>
                <w:sz w:val="24"/>
                <w:szCs w:val="24"/>
              </w:rPr>
            </w:pPr>
            <w:r>
              <w:rPr>
                <w:rFonts w:hint="eastAsia" w:ascii="仿宋_GB2312" w:hAnsi="宋体" w:eastAsia="仿宋_GB2312"/>
                <w:b/>
                <w:color w:val="000000"/>
                <w:sz w:val="24"/>
                <w:szCs w:val="24"/>
              </w:rPr>
              <w:t>294</w:t>
            </w:r>
          </w:p>
        </w:tc>
        <w:tc>
          <w:tcPr>
            <w:tcW w:w="1985" w:type="dxa"/>
            <w:tcBorders>
              <w:top w:val="single" w:color="8064A2" w:sz="8" w:space="0"/>
              <w:left w:val="dotted" w:color="auto" w:sz="8" w:space="0"/>
              <w:bottom w:val="single" w:color="8064A2" w:sz="8" w:space="0"/>
              <w:right w:val="single" w:color="8064A2" w:sz="8" w:space="0"/>
            </w:tcBorders>
            <w:shd w:val="clear" w:color="auto" w:fill="EDEAF0"/>
            <w:noWrap w:val="0"/>
            <w:vAlign w:val="center"/>
          </w:tcPr>
          <w:p>
            <w:pPr>
              <w:widowControl/>
              <w:jc w:val="center"/>
              <w:textAlignment w:val="center"/>
              <w:rPr>
                <w:rFonts w:ascii="仿宋_GB2312" w:hAnsi="宋体" w:eastAsia="仿宋_GB2312" w:cs="宋体"/>
                <w:b/>
                <w:color w:val="000000"/>
                <w:sz w:val="22"/>
              </w:rPr>
            </w:pPr>
            <w:r>
              <w:rPr>
                <w:rFonts w:hint="eastAsia" w:ascii="仿宋_GB2312" w:hAnsi="宋体" w:eastAsia="仿宋_GB2312" w:cs="宋体"/>
                <w:b/>
                <w:color w:val="000000"/>
                <w:sz w:val="22"/>
              </w:rPr>
              <w:t>12.19%</w:t>
            </w:r>
          </w:p>
        </w:tc>
      </w:tr>
      <w:tr>
        <w:tblPrEx>
          <w:tblCellMar>
            <w:top w:w="15" w:type="dxa"/>
            <w:left w:w="15" w:type="dxa"/>
            <w:bottom w:w="15" w:type="dxa"/>
            <w:right w:w="15" w:type="dxa"/>
          </w:tblCellMar>
        </w:tblPrEx>
        <w:trPr>
          <w:trHeight w:val="539" w:hRule="atLeast"/>
        </w:trPr>
        <w:tc>
          <w:tcPr>
            <w:tcW w:w="1008" w:type="dxa"/>
            <w:vMerge w:val="restart"/>
            <w:tcBorders>
              <w:top w:val="single" w:color="8064A2" w:sz="8" w:space="0"/>
              <w:left w:val="single" w:color="8064A2" w:sz="8" w:space="0"/>
              <w:bottom w:val="single" w:color="8064A2" w:sz="8" w:space="0"/>
              <w:right w:val="dotted" w:color="auto" w:sz="8" w:space="0"/>
            </w:tcBorders>
            <w:shd w:val="clear" w:color="auto" w:fill="FFFFFF"/>
            <w:noWrap w:val="0"/>
            <w:textDirection w:val="tbRlV"/>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信息管理学院</w:t>
            </w:r>
          </w:p>
        </w:tc>
        <w:tc>
          <w:tcPr>
            <w:tcW w:w="3260" w:type="dxa"/>
            <w:tcBorders>
              <w:top w:val="single" w:color="8064A2" w:sz="8" w:space="0"/>
              <w:left w:val="dotted" w:color="auto" w:sz="8" w:space="0"/>
              <w:bottom w:val="single" w:color="8064A2" w:sz="8" w:space="0"/>
              <w:right w:val="dotted" w:color="auto" w:sz="8" w:space="0"/>
            </w:tcBorders>
            <w:shd w:val="clear" w:color="auto" w:fill="FFFFFF"/>
            <w:noWrap w:val="0"/>
            <w:vAlign w:val="center"/>
          </w:tcPr>
          <w:p>
            <w:pPr>
              <w:widowControl/>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rPr>
              <w:t>信息管理与信息系统</w:t>
            </w:r>
          </w:p>
        </w:tc>
        <w:tc>
          <w:tcPr>
            <w:tcW w:w="1984" w:type="dxa"/>
            <w:tcBorders>
              <w:top w:val="single" w:color="8064A2" w:sz="8" w:space="0"/>
              <w:left w:val="dotted" w:color="auto" w:sz="8" w:space="0"/>
              <w:bottom w:val="single" w:color="8064A2" w:sz="8" w:space="0"/>
              <w:right w:val="dotted" w:color="auto" w:sz="8" w:space="0"/>
            </w:tcBorders>
            <w:shd w:val="clear" w:color="auto" w:fill="FFFFFF"/>
            <w:noWrap w:val="0"/>
            <w:vAlign w:val="center"/>
          </w:tcPr>
          <w:p>
            <w:pPr>
              <w:widowControl/>
              <w:jc w:val="center"/>
              <w:textAlignment w:val="center"/>
              <w:rPr>
                <w:rFonts w:ascii="仿宋_GB2312" w:hAnsi="宋体" w:eastAsia="仿宋_GB2312"/>
                <w:color w:val="000000"/>
                <w:sz w:val="24"/>
                <w:szCs w:val="24"/>
              </w:rPr>
            </w:pPr>
            <w:r>
              <w:rPr>
                <w:rFonts w:hint="eastAsia" w:ascii="仿宋_GB2312" w:hAnsi="宋体" w:eastAsia="仿宋_GB2312"/>
                <w:color w:val="000000"/>
                <w:sz w:val="24"/>
                <w:szCs w:val="24"/>
              </w:rPr>
              <w:t>80</w:t>
            </w:r>
          </w:p>
        </w:tc>
        <w:tc>
          <w:tcPr>
            <w:tcW w:w="1985" w:type="dxa"/>
            <w:tcBorders>
              <w:top w:val="single" w:color="8064A2" w:sz="8" w:space="0"/>
              <w:left w:val="dotted" w:color="auto" w:sz="8" w:space="0"/>
              <w:bottom w:val="single" w:color="8064A2" w:sz="8" w:space="0"/>
              <w:right w:val="single" w:color="8064A2" w:sz="8" w:space="0"/>
            </w:tcBorders>
            <w:shd w:val="clear" w:color="auto" w:fill="FFFFFF"/>
            <w:noWrap w:val="0"/>
            <w:vAlign w:val="center"/>
          </w:tcPr>
          <w:p>
            <w:pPr>
              <w:widowControl/>
              <w:jc w:val="center"/>
              <w:textAlignment w:val="center"/>
              <w:rPr>
                <w:rFonts w:ascii="仿宋_GB2312" w:hAnsi="宋体" w:eastAsia="仿宋_GB2312" w:cs="宋体"/>
                <w:color w:val="000000"/>
                <w:sz w:val="22"/>
              </w:rPr>
            </w:pPr>
            <w:r>
              <w:rPr>
                <w:rFonts w:hint="eastAsia" w:ascii="仿宋_GB2312" w:hAnsi="宋体" w:eastAsia="仿宋_GB2312" w:cs="宋体"/>
                <w:color w:val="000000"/>
                <w:sz w:val="22"/>
              </w:rPr>
              <w:t>3.32%</w:t>
            </w:r>
          </w:p>
        </w:tc>
      </w:tr>
      <w:tr>
        <w:tblPrEx>
          <w:tblCellMar>
            <w:top w:w="15" w:type="dxa"/>
            <w:left w:w="15" w:type="dxa"/>
            <w:bottom w:w="15" w:type="dxa"/>
            <w:right w:w="15" w:type="dxa"/>
          </w:tblCellMar>
        </w:tblPrEx>
        <w:trPr>
          <w:trHeight w:val="539" w:hRule="atLeast"/>
        </w:trPr>
        <w:tc>
          <w:tcPr>
            <w:tcW w:w="1008" w:type="dxa"/>
            <w:vMerge w:val="continue"/>
            <w:tcBorders>
              <w:top w:val="single" w:color="8064A2" w:sz="8" w:space="0"/>
              <w:left w:val="single" w:color="8064A2" w:sz="8" w:space="0"/>
              <w:bottom w:val="single" w:color="8064A2" w:sz="8" w:space="0"/>
              <w:right w:val="dotted" w:color="auto" w:sz="8" w:space="0"/>
            </w:tcBorders>
            <w:shd w:val="clear" w:color="auto" w:fill="EDEAF0"/>
            <w:noWrap w:val="0"/>
            <w:textDirection w:val="tbRlV"/>
            <w:vAlign w:val="center"/>
          </w:tcPr>
          <w:p>
            <w:pPr>
              <w:jc w:val="center"/>
              <w:rPr>
                <w:rFonts w:ascii="宋体" w:hAnsi="宋体" w:eastAsia="宋体" w:cs="宋体"/>
                <w:b/>
                <w:color w:val="000000"/>
                <w:sz w:val="22"/>
              </w:rPr>
            </w:pPr>
          </w:p>
        </w:tc>
        <w:tc>
          <w:tcPr>
            <w:tcW w:w="3260"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rPr>
              <w:t>电子信息工程</w:t>
            </w:r>
          </w:p>
        </w:tc>
        <w:tc>
          <w:tcPr>
            <w:tcW w:w="1984"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color w:val="000000"/>
                <w:sz w:val="24"/>
                <w:szCs w:val="24"/>
              </w:rPr>
            </w:pPr>
            <w:r>
              <w:rPr>
                <w:rFonts w:hint="eastAsia" w:ascii="仿宋_GB2312" w:hAnsi="宋体" w:eastAsia="仿宋_GB2312"/>
                <w:color w:val="000000"/>
                <w:sz w:val="24"/>
                <w:szCs w:val="24"/>
              </w:rPr>
              <w:t>37</w:t>
            </w:r>
          </w:p>
        </w:tc>
        <w:tc>
          <w:tcPr>
            <w:tcW w:w="1985" w:type="dxa"/>
            <w:tcBorders>
              <w:top w:val="single" w:color="8064A2" w:sz="8" w:space="0"/>
              <w:left w:val="dotted" w:color="auto" w:sz="8" w:space="0"/>
              <w:bottom w:val="single" w:color="8064A2" w:sz="8" w:space="0"/>
              <w:right w:val="single" w:color="8064A2" w:sz="8" w:space="0"/>
            </w:tcBorders>
            <w:shd w:val="clear" w:color="auto" w:fill="EDEAF0"/>
            <w:noWrap w:val="0"/>
            <w:vAlign w:val="center"/>
          </w:tcPr>
          <w:p>
            <w:pPr>
              <w:widowControl/>
              <w:jc w:val="center"/>
              <w:textAlignment w:val="center"/>
              <w:rPr>
                <w:rFonts w:ascii="仿宋_GB2312" w:hAnsi="宋体" w:eastAsia="仿宋_GB2312" w:cs="宋体"/>
                <w:color w:val="000000"/>
                <w:sz w:val="22"/>
              </w:rPr>
            </w:pPr>
            <w:r>
              <w:rPr>
                <w:rFonts w:hint="eastAsia" w:ascii="仿宋_GB2312" w:hAnsi="宋体" w:eastAsia="仿宋_GB2312" w:cs="宋体"/>
                <w:color w:val="000000"/>
                <w:sz w:val="22"/>
              </w:rPr>
              <w:t>1.53%</w:t>
            </w:r>
          </w:p>
        </w:tc>
      </w:tr>
      <w:tr>
        <w:tblPrEx>
          <w:tblCellMar>
            <w:top w:w="15" w:type="dxa"/>
            <w:left w:w="15" w:type="dxa"/>
            <w:bottom w:w="15" w:type="dxa"/>
            <w:right w:w="15" w:type="dxa"/>
          </w:tblCellMar>
        </w:tblPrEx>
        <w:trPr>
          <w:trHeight w:val="539" w:hRule="atLeast"/>
        </w:trPr>
        <w:tc>
          <w:tcPr>
            <w:tcW w:w="1008" w:type="dxa"/>
            <w:vMerge w:val="continue"/>
            <w:tcBorders>
              <w:top w:val="single" w:color="8064A2" w:sz="8" w:space="0"/>
              <w:left w:val="single" w:color="8064A2" w:sz="8" w:space="0"/>
              <w:bottom w:val="single" w:color="8064A2" w:sz="8" w:space="0"/>
              <w:right w:val="dotted" w:color="auto" w:sz="8" w:space="0"/>
            </w:tcBorders>
            <w:shd w:val="clear" w:color="auto" w:fill="FFFFFF"/>
            <w:noWrap w:val="0"/>
            <w:textDirection w:val="tbRlV"/>
            <w:vAlign w:val="center"/>
          </w:tcPr>
          <w:p>
            <w:pPr>
              <w:jc w:val="center"/>
              <w:rPr>
                <w:rFonts w:ascii="宋体" w:hAnsi="宋体" w:eastAsia="宋体" w:cs="宋体"/>
                <w:b/>
                <w:color w:val="000000"/>
                <w:sz w:val="22"/>
              </w:rPr>
            </w:pPr>
          </w:p>
        </w:tc>
        <w:tc>
          <w:tcPr>
            <w:tcW w:w="3260" w:type="dxa"/>
            <w:tcBorders>
              <w:top w:val="single" w:color="8064A2" w:sz="8" w:space="0"/>
              <w:left w:val="dotted" w:color="auto" w:sz="8" w:space="0"/>
              <w:bottom w:val="single" w:color="8064A2" w:sz="8" w:space="0"/>
              <w:right w:val="dotted" w:color="auto" w:sz="8" w:space="0"/>
            </w:tcBorders>
            <w:shd w:val="clear" w:color="auto" w:fill="FFFFFF"/>
            <w:noWrap w:val="0"/>
            <w:vAlign w:val="center"/>
          </w:tcPr>
          <w:p>
            <w:pPr>
              <w:widowControl/>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rPr>
              <w:t>电子商务</w:t>
            </w:r>
          </w:p>
        </w:tc>
        <w:tc>
          <w:tcPr>
            <w:tcW w:w="1984" w:type="dxa"/>
            <w:tcBorders>
              <w:top w:val="single" w:color="8064A2" w:sz="8" w:space="0"/>
              <w:left w:val="dotted" w:color="auto" w:sz="8" w:space="0"/>
              <w:bottom w:val="single" w:color="8064A2" w:sz="8" w:space="0"/>
              <w:right w:val="dotted" w:color="auto" w:sz="8" w:space="0"/>
            </w:tcBorders>
            <w:shd w:val="clear" w:color="auto" w:fill="FFFFFF"/>
            <w:noWrap w:val="0"/>
            <w:vAlign w:val="center"/>
          </w:tcPr>
          <w:p>
            <w:pPr>
              <w:widowControl/>
              <w:jc w:val="center"/>
              <w:textAlignment w:val="center"/>
              <w:rPr>
                <w:rFonts w:ascii="仿宋_GB2312" w:hAnsi="宋体" w:eastAsia="仿宋_GB2312"/>
                <w:color w:val="000000"/>
                <w:sz w:val="24"/>
                <w:szCs w:val="24"/>
              </w:rPr>
            </w:pPr>
            <w:r>
              <w:rPr>
                <w:rFonts w:hint="eastAsia" w:ascii="仿宋_GB2312" w:hAnsi="宋体" w:eastAsia="仿宋_GB2312"/>
                <w:color w:val="000000"/>
                <w:sz w:val="24"/>
                <w:szCs w:val="24"/>
              </w:rPr>
              <w:t>81</w:t>
            </w:r>
          </w:p>
        </w:tc>
        <w:tc>
          <w:tcPr>
            <w:tcW w:w="1985" w:type="dxa"/>
            <w:tcBorders>
              <w:top w:val="single" w:color="8064A2" w:sz="8" w:space="0"/>
              <w:left w:val="dotted" w:color="auto" w:sz="8" w:space="0"/>
              <w:bottom w:val="single" w:color="8064A2" w:sz="8" w:space="0"/>
              <w:right w:val="single" w:color="8064A2" w:sz="8" w:space="0"/>
            </w:tcBorders>
            <w:shd w:val="clear" w:color="auto" w:fill="FFFFFF"/>
            <w:noWrap w:val="0"/>
            <w:vAlign w:val="center"/>
          </w:tcPr>
          <w:p>
            <w:pPr>
              <w:widowControl/>
              <w:jc w:val="center"/>
              <w:textAlignment w:val="center"/>
              <w:rPr>
                <w:rFonts w:ascii="仿宋_GB2312" w:hAnsi="宋体" w:eastAsia="仿宋_GB2312" w:cs="宋体"/>
                <w:color w:val="000000"/>
                <w:sz w:val="22"/>
              </w:rPr>
            </w:pPr>
            <w:r>
              <w:rPr>
                <w:rFonts w:hint="eastAsia" w:ascii="仿宋_GB2312" w:hAnsi="宋体" w:eastAsia="仿宋_GB2312" w:cs="宋体"/>
                <w:color w:val="000000"/>
                <w:sz w:val="22"/>
              </w:rPr>
              <w:t>3.36%</w:t>
            </w:r>
          </w:p>
        </w:tc>
      </w:tr>
      <w:tr>
        <w:tblPrEx>
          <w:tblCellMar>
            <w:top w:w="15" w:type="dxa"/>
            <w:left w:w="15" w:type="dxa"/>
            <w:bottom w:w="15" w:type="dxa"/>
            <w:right w:w="15" w:type="dxa"/>
          </w:tblCellMar>
        </w:tblPrEx>
        <w:trPr>
          <w:trHeight w:val="539" w:hRule="atLeast"/>
        </w:trPr>
        <w:tc>
          <w:tcPr>
            <w:tcW w:w="1008" w:type="dxa"/>
            <w:vMerge w:val="continue"/>
            <w:tcBorders>
              <w:top w:val="single" w:color="8064A2" w:sz="8" w:space="0"/>
              <w:left w:val="single" w:color="8064A2" w:sz="8" w:space="0"/>
              <w:bottom w:val="single" w:color="8064A2" w:sz="8" w:space="0"/>
              <w:right w:val="dotted" w:color="auto" w:sz="8" w:space="0"/>
            </w:tcBorders>
            <w:shd w:val="clear" w:color="auto" w:fill="EDEAF0"/>
            <w:noWrap w:val="0"/>
            <w:textDirection w:val="tbRlV"/>
            <w:vAlign w:val="center"/>
          </w:tcPr>
          <w:p>
            <w:pPr>
              <w:jc w:val="center"/>
              <w:rPr>
                <w:rFonts w:ascii="宋体" w:hAnsi="宋体" w:eastAsia="宋体" w:cs="宋体"/>
                <w:b/>
                <w:color w:val="000000"/>
                <w:sz w:val="22"/>
              </w:rPr>
            </w:pPr>
          </w:p>
        </w:tc>
        <w:tc>
          <w:tcPr>
            <w:tcW w:w="3260"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rPr>
              <w:t>计算机科学与技术</w:t>
            </w:r>
          </w:p>
        </w:tc>
        <w:tc>
          <w:tcPr>
            <w:tcW w:w="1984"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color w:val="000000"/>
                <w:sz w:val="24"/>
                <w:szCs w:val="24"/>
              </w:rPr>
            </w:pPr>
            <w:r>
              <w:rPr>
                <w:rFonts w:hint="eastAsia" w:ascii="仿宋_GB2312" w:hAnsi="宋体" w:eastAsia="仿宋_GB2312"/>
                <w:color w:val="000000"/>
                <w:sz w:val="24"/>
                <w:szCs w:val="24"/>
              </w:rPr>
              <w:t>40</w:t>
            </w:r>
          </w:p>
        </w:tc>
        <w:tc>
          <w:tcPr>
            <w:tcW w:w="1985" w:type="dxa"/>
            <w:tcBorders>
              <w:top w:val="single" w:color="8064A2" w:sz="8" w:space="0"/>
              <w:left w:val="dotted" w:color="auto" w:sz="8" w:space="0"/>
              <w:bottom w:val="single" w:color="8064A2" w:sz="8" w:space="0"/>
              <w:right w:val="single" w:color="8064A2" w:sz="8" w:space="0"/>
            </w:tcBorders>
            <w:shd w:val="clear" w:color="auto" w:fill="EDEAF0"/>
            <w:noWrap w:val="0"/>
            <w:vAlign w:val="center"/>
          </w:tcPr>
          <w:p>
            <w:pPr>
              <w:widowControl/>
              <w:jc w:val="center"/>
              <w:textAlignment w:val="center"/>
              <w:rPr>
                <w:rFonts w:ascii="仿宋_GB2312" w:hAnsi="宋体" w:eastAsia="仿宋_GB2312" w:cs="宋体"/>
                <w:color w:val="000000"/>
                <w:sz w:val="22"/>
              </w:rPr>
            </w:pPr>
            <w:r>
              <w:rPr>
                <w:rFonts w:hint="eastAsia" w:ascii="仿宋_GB2312" w:hAnsi="宋体" w:eastAsia="仿宋_GB2312" w:cs="宋体"/>
                <w:color w:val="000000"/>
                <w:sz w:val="22"/>
              </w:rPr>
              <w:t>1.66%</w:t>
            </w:r>
          </w:p>
        </w:tc>
      </w:tr>
      <w:tr>
        <w:tblPrEx>
          <w:tblCellMar>
            <w:top w:w="15" w:type="dxa"/>
            <w:left w:w="15" w:type="dxa"/>
            <w:bottom w:w="15" w:type="dxa"/>
            <w:right w:w="15" w:type="dxa"/>
          </w:tblCellMar>
        </w:tblPrEx>
        <w:trPr>
          <w:trHeight w:val="539" w:hRule="atLeast"/>
        </w:trPr>
        <w:tc>
          <w:tcPr>
            <w:tcW w:w="1008" w:type="dxa"/>
            <w:vMerge w:val="continue"/>
            <w:tcBorders>
              <w:top w:val="single" w:color="8064A2" w:sz="8" w:space="0"/>
              <w:left w:val="single" w:color="8064A2" w:sz="8" w:space="0"/>
              <w:bottom w:val="single" w:color="8064A2" w:sz="8" w:space="0"/>
              <w:right w:val="dotted" w:color="auto" w:sz="8" w:space="0"/>
            </w:tcBorders>
            <w:shd w:val="clear" w:color="auto" w:fill="FFFFFF"/>
            <w:noWrap w:val="0"/>
            <w:textDirection w:val="tbRlV"/>
            <w:vAlign w:val="center"/>
          </w:tcPr>
          <w:p>
            <w:pPr>
              <w:jc w:val="center"/>
              <w:rPr>
                <w:rFonts w:ascii="宋体" w:hAnsi="宋体" w:eastAsia="宋体" w:cs="宋体"/>
                <w:b/>
                <w:color w:val="000000"/>
                <w:sz w:val="22"/>
              </w:rPr>
            </w:pPr>
          </w:p>
        </w:tc>
        <w:tc>
          <w:tcPr>
            <w:tcW w:w="3260" w:type="dxa"/>
            <w:tcBorders>
              <w:top w:val="single" w:color="8064A2" w:sz="8" w:space="0"/>
              <w:left w:val="dotted" w:color="auto" w:sz="8" w:space="0"/>
              <w:bottom w:val="single" w:color="8064A2" w:sz="8" w:space="0"/>
              <w:right w:val="dotted" w:color="auto" w:sz="8" w:space="0"/>
            </w:tcBorders>
            <w:shd w:val="clear" w:color="auto" w:fill="FFFFFF"/>
            <w:noWrap w:val="0"/>
            <w:vAlign w:val="center"/>
          </w:tcPr>
          <w:p>
            <w:pPr>
              <w:widowControl/>
              <w:jc w:val="center"/>
              <w:textAlignment w:val="center"/>
              <w:rPr>
                <w:rFonts w:ascii="仿宋_GB2312" w:hAnsi="宋体" w:eastAsia="仿宋_GB2312" w:cs="宋体"/>
                <w:b/>
                <w:color w:val="000000"/>
                <w:sz w:val="24"/>
                <w:szCs w:val="24"/>
              </w:rPr>
            </w:pPr>
            <w:r>
              <w:rPr>
                <w:rFonts w:hint="eastAsia" w:ascii="仿宋_GB2312" w:hAnsi="宋体" w:eastAsia="仿宋_GB2312" w:cs="宋体"/>
                <w:b/>
                <w:color w:val="000000"/>
                <w:kern w:val="0"/>
                <w:sz w:val="24"/>
                <w:szCs w:val="24"/>
              </w:rPr>
              <w:t>合计</w:t>
            </w:r>
          </w:p>
        </w:tc>
        <w:tc>
          <w:tcPr>
            <w:tcW w:w="1984" w:type="dxa"/>
            <w:tcBorders>
              <w:top w:val="single" w:color="8064A2" w:sz="8" w:space="0"/>
              <w:left w:val="dotted" w:color="auto" w:sz="8" w:space="0"/>
              <w:bottom w:val="single" w:color="8064A2" w:sz="8" w:space="0"/>
              <w:right w:val="dotted" w:color="auto" w:sz="8" w:space="0"/>
            </w:tcBorders>
            <w:shd w:val="clear" w:color="auto" w:fill="FFFFFF"/>
            <w:noWrap w:val="0"/>
            <w:vAlign w:val="center"/>
          </w:tcPr>
          <w:p>
            <w:pPr>
              <w:widowControl/>
              <w:jc w:val="center"/>
              <w:textAlignment w:val="center"/>
              <w:rPr>
                <w:rFonts w:ascii="仿宋_GB2312" w:hAnsi="宋体" w:eastAsia="仿宋_GB2312"/>
                <w:b/>
                <w:color w:val="000000"/>
                <w:sz w:val="24"/>
                <w:szCs w:val="24"/>
              </w:rPr>
            </w:pPr>
            <w:r>
              <w:rPr>
                <w:rFonts w:hint="eastAsia" w:ascii="仿宋_GB2312" w:hAnsi="宋体" w:eastAsia="仿宋_GB2312"/>
                <w:b/>
                <w:color w:val="000000"/>
                <w:sz w:val="24"/>
                <w:szCs w:val="24"/>
              </w:rPr>
              <w:t>238</w:t>
            </w:r>
          </w:p>
        </w:tc>
        <w:tc>
          <w:tcPr>
            <w:tcW w:w="1985" w:type="dxa"/>
            <w:tcBorders>
              <w:top w:val="single" w:color="8064A2" w:sz="8" w:space="0"/>
              <w:left w:val="dotted" w:color="auto" w:sz="8" w:space="0"/>
              <w:bottom w:val="single" w:color="8064A2" w:sz="8" w:space="0"/>
              <w:right w:val="single" w:color="8064A2" w:sz="8" w:space="0"/>
            </w:tcBorders>
            <w:shd w:val="clear" w:color="auto" w:fill="FFFFFF"/>
            <w:noWrap w:val="0"/>
            <w:vAlign w:val="center"/>
          </w:tcPr>
          <w:p>
            <w:pPr>
              <w:widowControl/>
              <w:jc w:val="center"/>
              <w:textAlignment w:val="center"/>
              <w:rPr>
                <w:rFonts w:ascii="仿宋_GB2312" w:hAnsi="宋体" w:eastAsia="仿宋_GB2312" w:cs="宋体"/>
                <w:b/>
                <w:color w:val="000000"/>
                <w:sz w:val="22"/>
              </w:rPr>
            </w:pPr>
            <w:r>
              <w:rPr>
                <w:rFonts w:hint="eastAsia" w:ascii="仿宋_GB2312" w:hAnsi="宋体" w:eastAsia="仿宋_GB2312" w:cs="宋体"/>
                <w:b/>
                <w:color w:val="000000"/>
                <w:sz w:val="22"/>
              </w:rPr>
              <w:t>9.87%</w:t>
            </w:r>
          </w:p>
        </w:tc>
      </w:tr>
      <w:tr>
        <w:tblPrEx>
          <w:tblCellMar>
            <w:top w:w="15" w:type="dxa"/>
            <w:left w:w="15" w:type="dxa"/>
            <w:bottom w:w="15" w:type="dxa"/>
            <w:right w:w="15" w:type="dxa"/>
          </w:tblCellMar>
        </w:tblPrEx>
        <w:trPr>
          <w:trHeight w:val="564" w:hRule="atLeast"/>
        </w:trPr>
        <w:tc>
          <w:tcPr>
            <w:tcW w:w="1008" w:type="dxa"/>
            <w:vMerge w:val="restart"/>
            <w:tcBorders>
              <w:top w:val="single" w:color="8064A2" w:sz="8" w:space="0"/>
              <w:left w:val="single" w:color="8064A2" w:sz="8" w:space="0"/>
              <w:bottom w:val="single" w:color="8064A2" w:sz="8" w:space="0"/>
              <w:right w:val="dotted" w:color="auto" w:sz="8" w:space="0"/>
            </w:tcBorders>
            <w:shd w:val="clear" w:color="auto" w:fill="EDEAF0"/>
            <w:noWrap w:val="0"/>
            <w:textDirection w:val="tbRlV"/>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公共管理学院</w:t>
            </w:r>
          </w:p>
        </w:tc>
        <w:tc>
          <w:tcPr>
            <w:tcW w:w="3260" w:type="dxa"/>
            <w:tcBorders>
              <w:top w:val="single" w:color="8064A2" w:sz="8" w:space="0"/>
              <w:left w:val="dotted" w:color="auto" w:sz="8" w:space="0"/>
              <w:right w:val="dotted" w:color="auto" w:sz="8" w:space="0"/>
            </w:tcBorders>
            <w:shd w:val="clear" w:color="auto" w:fill="EDEAF0"/>
            <w:noWrap w:val="0"/>
            <w:vAlign w:val="center"/>
          </w:tcPr>
          <w:p>
            <w:pPr>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rPr>
              <w:t>行政管理</w:t>
            </w:r>
          </w:p>
        </w:tc>
        <w:tc>
          <w:tcPr>
            <w:tcW w:w="1984" w:type="dxa"/>
            <w:tcBorders>
              <w:top w:val="single" w:color="8064A2" w:sz="8" w:space="0"/>
              <w:left w:val="dotted" w:color="auto" w:sz="8" w:space="0"/>
              <w:right w:val="dotted" w:color="auto" w:sz="8" w:space="0"/>
            </w:tcBorders>
            <w:shd w:val="clear" w:color="auto" w:fill="EDEAF0"/>
            <w:noWrap w:val="0"/>
            <w:vAlign w:val="center"/>
          </w:tcPr>
          <w:p>
            <w:pPr>
              <w:jc w:val="center"/>
              <w:textAlignment w:val="center"/>
              <w:rPr>
                <w:rFonts w:ascii="仿宋_GB2312" w:hAnsi="宋体" w:eastAsia="仿宋_GB2312"/>
                <w:color w:val="000000"/>
                <w:sz w:val="24"/>
                <w:szCs w:val="24"/>
              </w:rPr>
            </w:pPr>
            <w:r>
              <w:rPr>
                <w:rFonts w:hint="eastAsia" w:ascii="仿宋_GB2312" w:hAnsi="宋体" w:eastAsia="仿宋_GB2312"/>
                <w:color w:val="000000"/>
                <w:sz w:val="24"/>
                <w:szCs w:val="24"/>
              </w:rPr>
              <w:t>79</w:t>
            </w:r>
          </w:p>
        </w:tc>
        <w:tc>
          <w:tcPr>
            <w:tcW w:w="1985" w:type="dxa"/>
            <w:tcBorders>
              <w:top w:val="single" w:color="8064A2" w:sz="8" w:space="0"/>
              <w:left w:val="dotted" w:color="auto" w:sz="8" w:space="0"/>
              <w:right w:val="single" w:color="8064A2" w:sz="8" w:space="0"/>
            </w:tcBorders>
            <w:shd w:val="clear" w:color="auto" w:fill="EDEAF0"/>
            <w:noWrap w:val="0"/>
            <w:vAlign w:val="center"/>
          </w:tcPr>
          <w:p>
            <w:pPr>
              <w:widowControl/>
              <w:jc w:val="center"/>
              <w:textAlignment w:val="center"/>
              <w:rPr>
                <w:rFonts w:ascii="仿宋_GB2312" w:hAnsi="宋体" w:eastAsia="仿宋_GB2312" w:cs="宋体"/>
                <w:color w:val="000000"/>
                <w:sz w:val="22"/>
              </w:rPr>
            </w:pPr>
            <w:r>
              <w:rPr>
                <w:rFonts w:hint="eastAsia" w:ascii="仿宋_GB2312" w:hAnsi="宋体" w:eastAsia="仿宋_GB2312" w:cs="宋体"/>
                <w:color w:val="000000"/>
                <w:sz w:val="22"/>
              </w:rPr>
              <w:t>3.28%</w:t>
            </w:r>
          </w:p>
        </w:tc>
      </w:tr>
      <w:tr>
        <w:tblPrEx>
          <w:tblCellMar>
            <w:top w:w="15" w:type="dxa"/>
            <w:left w:w="15" w:type="dxa"/>
            <w:bottom w:w="15" w:type="dxa"/>
            <w:right w:w="15" w:type="dxa"/>
          </w:tblCellMar>
        </w:tblPrEx>
        <w:trPr>
          <w:trHeight w:val="539" w:hRule="atLeast"/>
        </w:trPr>
        <w:tc>
          <w:tcPr>
            <w:tcW w:w="1008" w:type="dxa"/>
            <w:vMerge w:val="continue"/>
            <w:tcBorders>
              <w:top w:val="single" w:color="8064A2" w:sz="8" w:space="0"/>
              <w:left w:val="single" w:color="8064A2" w:sz="8" w:space="0"/>
              <w:bottom w:val="single" w:color="8064A2" w:sz="8" w:space="0"/>
              <w:right w:val="dotted" w:color="auto" w:sz="8" w:space="0"/>
            </w:tcBorders>
            <w:shd w:val="clear" w:color="auto" w:fill="EDEAF0"/>
            <w:noWrap w:val="0"/>
            <w:textDirection w:val="tbRlV"/>
            <w:vAlign w:val="center"/>
          </w:tcPr>
          <w:p>
            <w:pPr>
              <w:jc w:val="center"/>
              <w:rPr>
                <w:rFonts w:ascii="宋体" w:hAnsi="宋体" w:eastAsia="宋体" w:cs="宋体"/>
                <w:b/>
                <w:color w:val="000000"/>
                <w:sz w:val="22"/>
              </w:rPr>
            </w:pPr>
          </w:p>
        </w:tc>
        <w:tc>
          <w:tcPr>
            <w:tcW w:w="3260"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cs="宋体"/>
                <w:b/>
                <w:color w:val="000000"/>
                <w:sz w:val="24"/>
                <w:szCs w:val="24"/>
              </w:rPr>
            </w:pPr>
            <w:r>
              <w:rPr>
                <w:rFonts w:hint="eastAsia" w:ascii="仿宋_GB2312" w:hAnsi="宋体" w:eastAsia="仿宋_GB2312" w:cs="宋体"/>
                <w:b/>
                <w:color w:val="000000"/>
                <w:kern w:val="0"/>
                <w:sz w:val="24"/>
                <w:szCs w:val="24"/>
              </w:rPr>
              <w:t>合计</w:t>
            </w:r>
          </w:p>
        </w:tc>
        <w:tc>
          <w:tcPr>
            <w:tcW w:w="1984"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b/>
                <w:color w:val="000000"/>
                <w:sz w:val="24"/>
                <w:szCs w:val="24"/>
              </w:rPr>
            </w:pPr>
            <w:r>
              <w:rPr>
                <w:rFonts w:hint="eastAsia" w:ascii="仿宋_GB2312" w:hAnsi="宋体" w:eastAsia="仿宋_GB2312"/>
                <w:b/>
                <w:color w:val="000000"/>
                <w:sz w:val="24"/>
                <w:szCs w:val="24"/>
              </w:rPr>
              <w:t>79</w:t>
            </w:r>
          </w:p>
        </w:tc>
        <w:tc>
          <w:tcPr>
            <w:tcW w:w="1985" w:type="dxa"/>
            <w:tcBorders>
              <w:top w:val="single" w:color="8064A2" w:sz="8" w:space="0"/>
              <w:left w:val="dotted" w:color="auto" w:sz="8" w:space="0"/>
              <w:bottom w:val="single" w:color="8064A2" w:sz="8" w:space="0"/>
              <w:right w:val="single" w:color="8064A2" w:sz="8" w:space="0"/>
            </w:tcBorders>
            <w:shd w:val="clear" w:color="auto" w:fill="EDEAF0"/>
            <w:noWrap w:val="0"/>
            <w:vAlign w:val="center"/>
          </w:tcPr>
          <w:p>
            <w:pPr>
              <w:widowControl/>
              <w:jc w:val="center"/>
              <w:textAlignment w:val="center"/>
              <w:rPr>
                <w:rFonts w:ascii="仿宋_GB2312" w:hAnsi="宋体" w:eastAsia="仿宋_GB2312" w:cs="宋体"/>
                <w:b/>
                <w:color w:val="000000"/>
                <w:sz w:val="22"/>
              </w:rPr>
            </w:pPr>
            <w:r>
              <w:rPr>
                <w:rFonts w:hint="eastAsia" w:ascii="仿宋_GB2312" w:hAnsi="宋体" w:eastAsia="仿宋_GB2312" w:cs="宋体"/>
                <w:b/>
                <w:color w:val="000000"/>
                <w:sz w:val="22"/>
              </w:rPr>
              <w:t>3.28%</w:t>
            </w:r>
          </w:p>
        </w:tc>
      </w:tr>
      <w:tr>
        <w:tblPrEx>
          <w:tblCellMar>
            <w:top w:w="15" w:type="dxa"/>
            <w:left w:w="15" w:type="dxa"/>
            <w:bottom w:w="15" w:type="dxa"/>
            <w:right w:w="15" w:type="dxa"/>
          </w:tblCellMar>
        </w:tblPrEx>
        <w:trPr>
          <w:trHeight w:val="539" w:hRule="atLeast"/>
        </w:trPr>
        <w:tc>
          <w:tcPr>
            <w:tcW w:w="1008" w:type="dxa"/>
            <w:vMerge w:val="restart"/>
            <w:tcBorders>
              <w:top w:val="single" w:color="8064A2" w:sz="8" w:space="0"/>
              <w:left w:val="single" w:color="8064A2" w:sz="8" w:space="0"/>
              <w:right w:val="dotted" w:color="auto" w:sz="8" w:space="0"/>
            </w:tcBorders>
            <w:shd w:val="clear" w:color="auto" w:fill="EDEAF0"/>
            <w:noWrap w:val="0"/>
            <w:textDirection w:val="tbRlV"/>
            <w:vAlign w:val="center"/>
          </w:tcPr>
          <w:p>
            <w:pPr>
              <w:jc w:val="center"/>
              <w:rPr>
                <w:rFonts w:ascii="宋体" w:hAnsi="宋体" w:eastAsia="宋体" w:cs="宋体"/>
                <w:b/>
                <w:color w:val="000000"/>
                <w:sz w:val="22"/>
              </w:rPr>
            </w:pPr>
            <w:r>
              <w:rPr>
                <w:rFonts w:hint="eastAsia" w:ascii="宋体" w:hAnsi="宋体" w:eastAsia="宋体" w:cs="宋体"/>
                <w:b/>
                <w:color w:val="000000"/>
                <w:sz w:val="22"/>
              </w:rPr>
              <w:t>经济学院</w:t>
            </w:r>
          </w:p>
        </w:tc>
        <w:tc>
          <w:tcPr>
            <w:tcW w:w="3260"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国际经济与贸易</w:t>
            </w:r>
          </w:p>
        </w:tc>
        <w:tc>
          <w:tcPr>
            <w:tcW w:w="1984"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color w:val="000000"/>
                <w:sz w:val="24"/>
                <w:szCs w:val="24"/>
              </w:rPr>
            </w:pPr>
            <w:r>
              <w:rPr>
                <w:rFonts w:hint="eastAsia" w:ascii="仿宋_GB2312" w:hAnsi="宋体" w:eastAsia="仿宋_GB2312"/>
                <w:color w:val="000000"/>
                <w:sz w:val="24"/>
                <w:szCs w:val="24"/>
              </w:rPr>
              <w:t>132</w:t>
            </w:r>
          </w:p>
        </w:tc>
        <w:tc>
          <w:tcPr>
            <w:tcW w:w="1985" w:type="dxa"/>
            <w:tcBorders>
              <w:top w:val="single" w:color="8064A2" w:sz="8" w:space="0"/>
              <w:left w:val="dotted" w:color="auto" w:sz="8" w:space="0"/>
              <w:bottom w:val="single" w:color="8064A2" w:sz="8" w:space="0"/>
              <w:right w:val="single" w:color="8064A2" w:sz="8" w:space="0"/>
            </w:tcBorders>
            <w:shd w:val="clear" w:color="auto" w:fill="EDEAF0"/>
            <w:noWrap w:val="0"/>
            <w:vAlign w:val="center"/>
          </w:tcPr>
          <w:p>
            <w:pPr>
              <w:widowControl/>
              <w:jc w:val="center"/>
              <w:textAlignment w:val="center"/>
              <w:rPr>
                <w:rFonts w:ascii="仿宋_GB2312" w:hAnsi="宋体" w:eastAsia="仿宋_GB2312" w:cs="宋体"/>
                <w:color w:val="000000"/>
                <w:sz w:val="22"/>
              </w:rPr>
            </w:pPr>
            <w:r>
              <w:rPr>
                <w:rFonts w:hint="eastAsia" w:ascii="仿宋_GB2312" w:hAnsi="宋体" w:eastAsia="仿宋_GB2312" w:cs="宋体"/>
                <w:color w:val="000000"/>
                <w:sz w:val="22"/>
              </w:rPr>
              <w:t>5.47%</w:t>
            </w:r>
          </w:p>
        </w:tc>
      </w:tr>
      <w:tr>
        <w:tblPrEx>
          <w:tblCellMar>
            <w:top w:w="15" w:type="dxa"/>
            <w:left w:w="15" w:type="dxa"/>
            <w:bottom w:w="15" w:type="dxa"/>
            <w:right w:w="15" w:type="dxa"/>
          </w:tblCellMar>
        </w:tblPrEx>
        <w:trPr>
          <w:trHeight w:val="539" w:hRule="atLeast"/>
        </w:trPr>
        <w:tc>
          <w:tcPr>
            <w:tcW w:w="1008" w:type="dxa"/>
            <w:vMerge w:val="continue"/>
            <w:tcBorders>
              <w:left w:val="single" w:color="8064A2" w:sz="8" w:space="0"/>
              <w:right w:val="dotted" w:color="auto" w:sz="8" w:space="0"/>
            </w:tcBorders>
            <w:shd w:val="clear" w:color="auto" w:fill="EDEAF0"/>
            <w:noWrap w:val="0"/>
            <w:textDirection w:val="tbRlV"/>
            <w:vAlign w:val="center"/>
          </w:tcPr>
          <w:p>
            <w:pPr>
              <w:jc w:val="center"/>
              <w:rPr>
                <w:rFonts w:ascii="宋体" w:hAnsi="宋体" w:cs="宋体"/>
                <w:b/>
                <w:color w:val="000000"/>
                <w:sz w:val="22"/>
              </w:rPr>
            </w:pPr>
          </w:p>
        </w:tc>
        <w:tc>
          <w:tcPr>
            <w:tcW w:w="3260"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国际商务</w:t>
            </w:r>
          </w:p>
        </w:tc>
        <w:tc>
          <w:tcPr>
            <w:tcW w:w="1984"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color w:val="000000"/>
                <w:sz w:val="24"/>
                <w:szCs w:val="24"/>
              </w:rPr>
            </w:pPr>
            <w:r>
              <w:rPr>
                <w:rFonts w:hint="eastAsia" w:ascii="仿宋_GB2312" w:hAnsi="宋体" w:eastAsia="仿宋_GB2312"/>
                <w:color w:val="000000"/>
                <w:sz w:val="24"/>
                <w:szCs w:val="24"/>
              </w:rPr>
              <w:t>39</w:t>
            </w:r>
          </w:p>
        </w:tc>
        <w:tc>
          <w:tcPr>
            <w:tcW w:w="1985" w:type="dxa"/>
            <w:tcBorders>
              <w:top w:val="single" w:color="8064A2" w:sz="8" w:space="0"/>
              <w:left w:val="dotted" w:color="auto" w:sz="8" w:space="0"/>
              <w:bottom w:val="single" w:color="8064A2" w:sz="8" w:space="0"/>
              <w:right w:val="single" w:color="8064A2" w:sz="8" w:space="0"/>
            </w:tcBorders>
            <w:shd w:val="clear" w:color="auto" w:fill="EDEAF0"/>
            <w:noWrap w:val="0"/>
            <w:vAlign w:val="center"/>
          </w:tcPr>
          <w:p>
            <w:pPr>
              <w:widowControl/>
              <w:jc w:val="center"/>
              <w:textAlignment w:val="center"/>
              <w:rPr>
                <w:rFonts w:ascii="仿宋_GB2312" w:hAnsi="宋体" w:eastAsia="仿宋_GB2312" w:cs="宋体"/>
                <w:color w:val="000000"/>
                <w:sz w:val="22"/>
              </w:rPr>
            </w:pPr>
            <w:r>
              <w:rPr>
                <w:rFonts w:hint="eastAsia" w:ascii="仿宋_GB2312" w:hAnsi="宋体" w:eastAsia="仿宋_GB2312" w:cs="宋体"/>
                <w:color w:val="000000"/>
                <w:sz w:val="22"/>
              </w:rPr>
              <w:t>1.62%</w:t>
            </w:r>
          </w:p>
        </w:tc>
      </w:tr>
      <w:tr>
        <w:tblPrEx>
          <w:tblCellMar>
            <w:top w:w="15" w:type="dxa"/>
            <w:left w:w="15" w:type="dxa"/>
            <w:bottom w:w="15" w:type="dxa"/>
            <w:right w:w="15" w:type="dxa"/>
          </w:tblCellMar>
        </w:tblPrEx>
        <w:trPr>
          <w:trHeight w:val="539" w:hRule="atLeast"/>
        </w:trPr>
        <w:tc>
          <w:tcPr>
            <w:tcW w:w="1008" w:type="dxa"/>
            <w:vMerge w:val="continue"/>
            <w:tcBorders>
              <w:left w:val="single" w:color="8064A2" w:sz="8" w:space="0"/>
              <w:bottom w:val="single" w:color="8064A2" w:sz="8" w:space="0"/>
              <w:right w:val="dotted" w:color="auto" w:sz="8" w:space="0"/>
            </w:tcBorders>
            <w:shd w:val="clear" w:color="auto" w:fill="EDEAF0"/>
            <w:noWrap w:val="0"/>
            <w:textDirection w:val="tbRlV"/>
            <w:vAlign w:val="center"/>
          </w:tcPr>
          <w:p>
            <w:pPr>
              <w:jc w:val="center"/>
              <w:rPr>
                <w:rFonts w:ascii="宋体" w:hAnsi="宋体" w:cs="宋体"/>
                <w:b/>
                <w:color w:val="000000"/>
                <w:sz w:val="22"/>
              </w:rPr>
            </w:pPr>
          </w:p>
        </w:tc>
        <w:tc>
          <w:tcPr>
            <w:tcW w:w="3260"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合计</w:t>
            </w:r>
          </w:p>
        </w:tc>
        <w:tc>
          <w:tcPr>
            <w:tcW w:w="1984" w:type="dxa"/>
            <w:tcBorders>
              <w:top w:val="single" w:color="8064A2" w:sz="8" w:space="0"/>
              <w:left w:val="dotted" w:color="auto" w:sz="8" w:space="0"/>
              <w:bottom w:val="single" w:color="8064A2" w:sz="8" w:space="0"/>
              <w:right w:val="dotted" w:color="auto" w:sz="8" w:space="0"/>
            </w:tcBorders>
            <w:shd w:val="clear" w:color="auto" w:fill="EDEAF0"/>
            <w:noWrap w:val="0"/>
            <w:vAlign w:val="center"/>
          </w:tcPr>
          <w:p>
            <w:pPr>
              <w:widowControl/>
              <w:jc w:val="center"/>
              <w:textAlignment w:val="center"/>
              <w:rPr>
                <w:rFonts w:ascii="仿宋_GB2312" w:hAnsi="宋体" w:eastAsia="仿宋_GB2312"/>
                <w:b/>
                <w:color w:val="000000"/>
                <w:sz w:val="24"/>
                <w:szCs w:val="24"/>
              </w:rPr>
            </w:pPr>
            <w:r>
              <w:rPr>
                <w:rFonts w:hint="eastAsia" w:ascii="仿宋_GB2312" w:hAnsi="宋体" w:eastAsia="仿宋_GB2312"/>
                <w:b/>
                <w:color w:val="000000"/>
                <w:sz w:val="24"/>
                <w:szCs w:val="24"/>
              </w:rPr>
              <w:t>171</w:t>
            </w:r>
          </w:p>
        </w:tc>
        <w:tc>
          <w:tcPr>
            <w:tcW w:w="1985" w:type="dxa"/>
            <w:tcBorders>
              <w:top w:val="single" w:color="8064A2" w:sz="8" w:space="0"/>
              <w:left w:val="dotted" w:color="auto" w:sz="8" w:space="0"/>
              <w:bottom w:val="single" w:color="8064A2" w:sz="8" w:space="0"/>
              <w:right w:val="single" w:color="8064A2" w:sz="8" w:space="0"/>
            </w:tcBorders>
            <w:shd w:val="clear" w:color="auto" w:fill="EDEAF0"/>
            <w:noWrap w:val="0"/>
            <w:vAlign w:val="center"/>
          </w:tcPr>
          <w:p>
            <w:pPr>
              <w:widowControl/>
              <w:jc w:val="center"/>
              <w:textAlignment w:val="center"/>
              <w:rPr>
                <w:rFonts w:ascii="仿宋_GB2312" w:hAnsi="宋体" w:eastAsia="仿宋_GB2312" w:cs="宋体"/>
                <w:b/>
                <w:color w:val="000000"/>
                <w:sz w:val="22"/>
              </w:rPr>
            </w:pPr>
            <w:r>
              <w:rPr>
                <w:rFonts w:hint="eastAsia" w:ascii="仿宋_GB2312" w:hAnsi="宋体" w:eastAsia="仿宋_GB2312" w:cs="宋体"/>
                <w:b/>
                <w:color w:val="000000"/>
                <w:sz w:val="22"/>
              </w:rPr>
              <w:t>7.09%</w:t>
            </w:r>
          </w:p>
        </w:tc>
      </w:tr>
    </w:tbl>
    <w:p>
      <w:bookmarkStart w:id="28" w:name="_Toc13618"/>
    </w:p>
    <w:p>
      <w:pPr>
        <w:pStyle w:val="2"/>
        <w:spacing w:before="0" w:afterLines="100" w:line="579" w:lineRule="auto"/>
        <w:jc w:val="center"/>
        <w:rPr>
          <w:rFonts w:ascii="黑体" w:hAnsi="黑体" w:eastAsia="黑体"/>
          <w:b w:val="0"/>
          <w:color w:val="1F497D"/>
          <w:kern w:val="0"/>
          <w:sz w:val="32"/>
          <w:szCs w:val="32"/>
        </w:rPr>
      </w:pPr>
      <w:bookmarkStart w:id="29" w:name="_Toc29684"/>
      <w:r>
        <w:rPr>
          <w:rFonts w:hint="eastAsia" w:ascii="黑体" w:hAnsi="黑体" w:eastAsia="黑体"/>
          <w:color w:val="1F497D"/>
          <w:kern w:val="0"/>
          <w:sz w:val="32"/>
          <w:szCs w:val="32"/>
        </w:rPr>
        <w:t>第二部分</w:t>
      </w:r>
      <w:r>
        <w:rPr>
          <w:rFonts w:ascii="黑体" w:hAnsi="黑体" w:eastAsia="黑体"/>
          <w:color w:val="1F497D"/>
          <w:kern w:val="0"/>
          <w:sz w:val="32"/>
          <w:szCs w:val="32"/>
        </w:rPr>
        <w:t xml:space="preserve">  </w:t>
      </w:r>
      <w:r>
        <w:rPr>
          <w:rFonts w:hint="eastAsia" w:ascii="黑体" w:hAnsi="黑体" w:eastAsia="黑体"/>
          <w:color w:val="1F497D"/>
          <w:kern w:val="0"/>
          <w:sz w:val="32"/>
          <w:szCs w:val="32"/>
        </w:rPr>
        <w:t>毕业生就业状况</w:t>
      </w:r>
      <w:bookmarkEnd w:id="28"/>
      <w:bookmarkEnd w:id="29"/>
    </w:p>
    <w:p>
      <w:pPr>
        <w:pStyle w:val="3"/>
        <w:spacing w:before="0" w:after="0"/>
        <w:rPr>
          <w:rFonts w:ascii="仿宋_GB2312" w:eastAsia="仿宋_GB2312"/>
          <w:b w:val="0"/>
          <w:color w:val="1F497D"/>
        </w:rPr>
      </w:pPr>
      <w:bookmarkStart w:id="30" w:name="_Toc25354"/>
      <w:bookmarkStart w:id="31" w:name="_Toc437032034"/>
      <w:bookmarkStart w:id="32" w:name="_Toc437501609"/>
      <w:bookmarkStart w:id="33" w:name="_Toc25005"/>
      <w:r>
        <w:rPr>
          <w:rFonts w:hint="eastAsia" w:ascii="仿宋_GB2312" w:eastAsia="仿宋_GB2312"/>
          <w:color w:val="1F497D"/>
        </w:rPr>
        <w:t>2.1整体就业率</w:t>
      </w:r>
      <w:bookmarkEnd w:id="30"/>
      <w:bookmarkEnd w:id="31"/>
      <w:bookmarkEnd w:id="32"/>
      <w:bookmarkEnd w:id="33"/>
    </w:p>
    <w:p>
      <w:pPr>
        <w:ind w:firstLine="570"/>
        <w:rPr>
          <w:rFonts w:ascii="仿宋_GB2312" w:hAnsi="宋体" w:eastAsia="仿宋_GB2312" w:cs="宋体"/>
          <w:color w:val="000000"/>
          <w:kern w:val="0"/>
          <w:sz w:val="28"/>
          <w:szCs w:val="28"/>
        </w:rPr>
      </w:pPr>
      <w:r>
        <w:rPr>
          <w:rFonts w:ascii="仿宋_GB2312" w:hAnsi="宋体" w:eastAsia="仿宋_GB2312" w:cs="宋体"/>
          <w:color w:val="000000"/>
          <w:kern w:val="0"/>
          <w:sz w:val="28"/>
          <w:szCs w:val="28"/>
        </w:rPr>
        <w:t>201</w:t>
      </w:r>
      <w:r>
        <w:rPr>
          <w:rFonts w:hint="eastAsia" w:ascii="仿宋_GB2312" w:hAnsi="宋体" w:eastAsia="仿宋_GB2312" w:cs="宋体"/>
          <w:color w:val="000000"/>
          <w:kern w:val="0"/>
          <w:sz w:val="28"/>
          <w:szCs w:val="28"/>
        </w:rPr>
        <w:t>9年，我校本科毕业生共计2411人，截止</w:t>
      </w:r>
      <w:r>
        <w:rPr>
          <w:rFonts w:ascii="仿宋_GB2312" w:hAnsi="宋体" w:eastAsia="仿宋_GB2312" w:cs="宋体"/>
          <w:color w:val="000000"/>
          <w:kern w:val="0"/>
          <w:sz w:val="28"/>
          <w:szCs w:val="28"/>
        </w:rPr>
        <w:t>8</w:t>
      </w:r>
      <w:r>
        <w:rPr>
          <w:rFonts w:hint="eastAsia" w:ascii="仿宋_GB2312" w:hAnsi="宋体" w:eastAsia="仿宋_GB2312" w:cs="宋体"/>
          <w:color w:val="000000"/>
          <w:kern w:val="0"/>
          <w:sz w:val="28"/>
          <w:szCs w:val="28"/>
        </w:rPr>
        <w:t>月</w:t>
      </w:r>
      <w:r>
        <w:rPr>
          <w:rFonts w:ascii="仿宋_GB2312" w:hAnsi="宋体" w:eastAsia="仿宋_GB2312" w:cs="宋体"/>
          <w:color w:val="000000"/>
          <w:kern w:val="0"/>
          <w:sz w:val="28"/>
          <w:szCs w:val="28"/>
        </w:rPr>
        <w:t>31</w:t>
      </w:r>
      <w:r>
        <w:rPr>
          <w:rFonts w:hint="eastAsia" w:ascii="仿宋_GB2312" w:hAnsi="宋体" w:eastAsia="仿宋_GB2312" w:cs="宋体"/>
          <w:color w:val="000000"/>
          <w:kern w:val="0"/>
          <w:sz w:val="28"/>
          <w:szCs w:val="28"/>
        </w:rPr>
        <w:t>日，已就业人数1801人，初次就业率为74.70</w:t>
      </w:r>
      <w:r>
        <w:rPr>
          <w:rFonts w:ascii="仿宋_GB2312" w:hAnsi="宋体" w:eastAsia="仿宋_GB2312" w:cs="宋体"/>
          <w:color w:val="000000"/>
          <w:kern w:val="0"/>
          <w:sz w:val="28"/>
          <w:szCs w:val="28"/>
        </w:rPr>
        <w:t>%</w:t>
      </w:r>
      <w:r>
        <w:rPr>
          <w:rFonts w:hint="eastAsia" w:ascii="仿宋_GB2312" w:hAnsi="宋体" w:eastAsia="仿宋_GB2312" w:cs="宋体"/>
          <w:color w:val="000000"/>
          <w:kern w:val="0"/>
          <w:sz w:val="28"/>
          <w:szCs w:val="28"/>
        </w:rPr>
        <w:t>，其中，已就业并办理《报到证》284人，占</w:t>
      </w:r>
      <w:r>
        <w:rPr>
          <w:rFonts w:ascii="仿宋_GB2312" w:hAnsi="宋体" w:eastAsia="仿宋_GB2312" w:cs="宋体"/>
          <w:color w:val="000000"/>
          <w:kern w:val="0"/>
          <w:sz w:val="28"/>
          <w:szCs w:val="28"/>
        </w:rPr>
        <w:t>1</w:t>
      </w:r>
      <w:r>
        <w:rPr>
          <w:rFonts w:hint="eastAsia" w:ascii="仿宋_GB2312" w:hAnsi="宋体" w:eastAsia="仿宋_GB2312" w:cs="宋体"/>
          <w:color w:val="000000"/>
          <w:kern w:val="0"/>
          <w:sz w:val="28"/>
          <w:szCs w:val="28"/>
        </w:rPr>
        <w:t>1.78</w:t>
      </w:r>
      <w:r>
        <w:rPr>
          <w:rFonts w:ascii="仿宋_GB2312" w:hAnsi="宋体" w:eastAsia="仿宋_GB2312" w:cs="宋体"/>
          <w:color w:val="000000"/>
          <w:kern w:val="0"/>
          <w:sz w:val="28"/>
          <w:szCs w:val="28"/>
        </w:rPr>
        <w:t>%</w:t>
      </w:r>
      <w:r>
        <w:rPr>
          <w:rFonts w:hint="eastAsia" w:ascii="仿宋_GB2312" w:hAnsi="宋体" w:eastAsia="仿宋_GB2312" w:cs="宋体"/>
          <w:color w:val="000000"/>
          <w:kern w:val="0"/>
          <w:sz w:val="28"/>
          <w:szCs w:val="28"/>
        </w:rPr>
        <w:t>；国家与地方基层项目就业1人，占</w:t>
      </w:r>
      <w:r>
        <w:rPr>
          <w:rFonts w:ascii="仿宋_GB2312" w:hAnsi="宋体" w:eastAsia="仿宋_GB2312" w:cs="宋体"/>
          <w:color w:val="000000"/>
          <w:kern w:val="0"/>
          <w:sz w:val="28"/>
          <w:szCs w:val="28"/>
        </w:rPr>
        <w:t>0.</w:t>
      </w:r>
      <w:r>
        <w:rPr>
          <w:rFonts w:hint="eastAsia" w:ascii="仿宋_GB2312" w:hAnsi="宋体" w:eastAsia="仿宋_GB2312" w:cs="宋体"/>
          <w:color w:val="000000"/>
          <w:kern w:val="0"/>
          <w:sz w:val="28"/>
          <w:szCs w:val="28"/>
        </w:rPr>
        <w:t>04</w:t>
      </w:r>
      <w:r>
        <w:rPr>
          <w:rFonts w:ascii="仿宋_GB2312" w:hAnsi="宋体" w:eastAsia="仿宋_GB2312" w:cs="宋体"/>
          <w:color w:val="000000"/>
          <w:kern w:val="0"/>
          <w:sz w:val="28"/>
          <w:szCs w:val="28"/>
        </w:rPr>
        <w:t>%</w:t>
      </w:r>
      <w:r>
        <w:rPr>
          <w:rFonts w:hint="eastAsia" w:ascii="仿宋_GB2312" w:hAnsi="宋体" w:eastAsia="仿宋_GB2312" w:cs="宋体"/>
          <w:color w:val="000000"/>
          <w:kern w:val="0"/>
          <w:sz w:val="28"/>
          <w:szCs w:val="28"/>
        </w:rPr>
        <w:t>；灵活就业1232人，占51.10</w:t>
      </w:r>
      <w:r>
        <w:rPr>
          <w:rFonts w:ascii="仿宋_GB2312" w:hAnsi="宋体" w:eastAsia="仿宋_GB2312" w:cs="宋体"/>
          <w:color w:val="000000"/>
          <w:kern w:val="0"/>
          <w:sz w:val="28"/>
          <w:szCs w:val="28"/>
        </w:rPr>
        <w:t>%</w:t>
      </w:r>
      <w:r>
        <w:rPr>
          <w:rFonts w:hint="eastAsia" w:ascii="仿宋_GB2312" w:hAnsi="宋体" w:eastAsia="仿宋_GB2312" w:cs="宋体"/>
          <w:color w:val="000000"/>
          <w:kern w:val="0"/>
          <w:sz w:val="28"/>
          <w:szCs w:val="28"/>
        </w:rPr>
        <w:t>；继续深造</w:t>
      </w:r>
      <w:r>
        <w:rPr>
          <w:rFonts w:ascii="仿宋_GB2312" w:hAnsi="宋体" w:eastAsia="仿宋_GB2312" w:cs="宋体"/>
          <w:color w:val="000000"/>
          <w:kern w:val="0"/>
          <w:sz w:val="28"/>
          <w:szCs w:val="28"/>
        </w:rPr>
        <w:t>1</w:t>
      </w:r>
      <w:r>
        <w:rPr>
          <w:rFonts w:hint="eastAsia" w:ascii="仿宋_GB2312" w:hAnsi="宋体" w:eastAsia="仿宋_GB2312" w:cs="宋体"/>
          <w:color w:val="000000"/>
          <w:kern w:val="0"/>
          <w:sz w:val="28"/>
          <w:szCs w:val="28"/>
        </w:rPr>
        <w:t>81人，占7.51</w:t>
      </w:r>
      <w:r>
        <w:rPr>
          <w:rFonts w:ascii="仿宋_GB2312" w:hAnsi="宋体" w:eastAsia="仿宋_GB2312" w:cs="宋体"/>
          <w:color w:val="000000"/>
          <w:kern w:val="0"/>
          <w:sz w:val="28"/>
          <w:szCs w:val="28"/>
        </w:rPr>
        <w:t>%</w:t>
      </w:r>
      <w:r>
        <w:rPr>
          <w:rFonts w:hint="eastAsia" w:ascii="仿宋_GB2312" w:hAnsi="宋体" w:eastAsia="仿宋_GB2312" w:cs="宋体"/>
          <w:color w:val="000000"/>
          <w:kern w:val="0"/>
          <w:sz w:val="28"/>
          <w:szCs w:val="28"/>
        </w:rPr>
        <w:t>；出国留学或工作52人，占2.16</w:t>
      </w:r>
      <w:r>
        <w:rPr>
          <w:rFonts w:ascii="仿宋_GB2312" w:hAnsi="宋体" w:eastAsia="仿宋_GB2312" w:cs="宋体"/>
          <w:color w:val="000000"/>
          <w:kern w:val="0"/>
          <w:sz w:val="28"/>
          <w:szCs w:val="28"/>
        </w:rPr>
        <w:t>%</w:t>
      </w:r>
      <w:r>
        <w:rPr>
          <w:rFonts w:hint="eastAsia" w:ascii="仿宋_GB2312" w:hAnsi="宋体" w:eastAsia="仿宋_GB2312" w:cs="宋体"/>
          <w:color w:val="000000"/>
          <w:kern w:val="0"/>
          <w:sz w:val="28"/>
          <w:szCs w:val="28"/>
        </w:rPr>
        <w:t>；登记自主创业6人，占0.25</w:t>
      </w:r>
      <w:r>
        <w:rPr>
          <w:rFonts w:ascii="仿宋_GB2312" w:hAnsi="宋体" w:eastAsia="仿宋_GB2312" w:cs="宋体"/>
          <w:color w:val="000000"/>
          <w:kern w:val="0"/>
          <w:sz w:val="28"/>
          <w:szCs w:val="28"/>
        </w:rPr>
        <w:t>%</w:t>
      </w:r>
      <w:r>
        <w:rPr>
          <w:rFonts w:hint="eastAsia" w:ascii="仿宋_GB2312" w:hAnsi="宋体" w:eastAsia="仿宋_GB2312" w:cs="宋体"/>
          <w:color w:val="000000"/>
          <w:kern w:val="0"/>
          <w:sz w:val="28"/>
          <w:szCs w:val="28"/>
        </w:rPr>
        <w:t>；自由职业45人，占1.87</w:t>
      </w:r>
      <w:r>
        <w:rPr>
          <w:rFonts w:ascii="仿宋_GB2312" w:hAnsi="宋体" w:eastAsia="仿宋_GB2312" w:cs="宋体"/>
          <w:color w:val="000000"/>
          <w:kern w:val="0"/>
          <w:sz w:val="28"/>
          <w:szCs w:val="28"/>
        </w:rPr>
        <w:t>%</w:t>
      </w:r>
      <w:r>
        <w:rPr>
          <w:rFonts w:hint="eastAsia" w:ascii="仿宋_GB2312" w:hAnsi="宋体" w:eastAsia="仿宋_GB2312" w:cs="宋体"/>
          <w:color w:val="000000"/>
          <w:kern w:val="0"/>
          <w:sz w:val="28"/>
          <w:szCs w:val="28"/>
        </w:rPr>
        <w:t>；另有610人暂未就业，占25.30</w:t>
      </w:r>
      <w:r>
        <w:rPr>
          <w:rFonts w:ascii="仿宋_GB2312" w:hAnsi="宋体" w:eastAsia="仿宋_GB2312" w:cs="宋体"/>
          <w:color w:val="000000"/>
          <w:kern w:val="0"/>
          <w:sz w:val="28"/>
          <w:szCs w:val="28"/>
        </w:rPr>
        <w:t>%</w:t>
      </w:r>
      <w:r>
        <w:rPr>
          <w:rFonts w:hint="eastAsia" w:ascii="仿宋_GB2312" w:hAnsi="宋体" w:eastAsia="仿宋_GB2312" w:cs="宋体"/>
          <w:color w:val="000000"/>
          <w:kern w:val="0"/>
          <w:sz w:val="28"/>
          <w:szCs w:val="28"/>
        </w:rPr>
        <w:t>，具体情况</w:t>
      </w:r>
      <w:r>
        <w:rPr>
          <w:rFonts w:hint="eastAsia" w:ascii="仿宋_GB2312" w:eastAsia="仿宋_GB2312"/>
          <w:sz w:val="28"/>
          <w:szCs w:val="28"/>
        </w:rPr>
        <w:t>详见图表</w:t>
      </w:r>
      <w:r>
        <w:rPr>
          <w:rFonts w:ascii="仿宋_GB2312" w:eastAsia="仿宋_GB2312"/>
          <w:sz w:val="28"/>
          <w:szCs w:val="28"/>
        </w:rPr>
        <w:t xml:space="preserve"> 2-1</w:t>
      </w:r>
      <w:r>
        <w:rPr>
          <w:rFonts w:hint="eastAsia" w:ascii="仿宋_GB2312" w:eastAsia="仿宋_GB2312"/>
          <w:sz w:val="28"/>
          <w:szCs w:val="28"/>
        </w:rPr>
        <w:t>。</w:t>
      </w:r>
    </w:p>
    <w:p>
      <w:pPr>
        <w:widowControl/>
        <w:jc w:val="center"/>
        <w:rPr>
          <w:rFonts w:ascii="仿宋_GB2312" w:hAnsi="宋体" w:eastAsia="仿宋_GB2312" w:cs="宋体"/>
          <w:color w:val="000000"/>
          <w:kern w:val="0"/>
          <w:sz w:val="30"/>
          <w:szCs w:val="30"/>
        </w:rPr>
      </w:pPr>
      <w:r>
        <w:rPr>
          <w:rFonts w:hint="eastAsia" w:ascii="仿宋_GB2312" w:eastAsia="仿宋_GB2312"/>
          <w:b/>
          <w:sz w:val="30"/>
          <w:szCs w:val="30"/>
        </w:rPr>
        <w:t>表</w:t>
      </w:r>
      <w:r>
        <w:rPr>
          <w:rFonts w:ascii="仿宋_GB2312" w:eastAsia="仿宋_GB2312"/>
          <w:b/>
          <w:sz w:val="30"/>
          <w:szCs w:val="30"/>
        </w:rPr>
        <w:t>2-1  201</w:t>
      </w:r>
      <w:r>
        <w:rPr>
          <w:rFonts w:hint="eastAsia" w:ascii="仿宋_GB2312" w:eastAsia="仿宋_GB2312"/>
          <w:b/>
          <w:sz w:val="30"/>
          <w:szCs w:val="30"/>
        </w:rPr>
        <w:t>9届毕业生初次整体就业率统计表</w:t>
      </w:r>
    </w:p>
    <w:tbl>
      <w:tblPr>
        <w:tblStyle w:val="27"/>
        <w:tblW w:w="9440" w:type="dxa"/>
        <w:jc w:val="cente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Layout w:type="fixed"/>
        <w:tblCellMar>
          <w:top w:w="0" w:type="dxa"/>
          <w:left w:w="108" w:type="dxa"/>
          <w:bottom w:w="0" w:type="dxa"/>
          <w:right w:w="108" w:type="dxa"/>
        </w:tblCellMar>
      </w:tblPr>
      <w:tblGrid>
        <w:gridCol w:w="716"/>
        <w:gridCol w:w="883"/>
        <w:gridCol w:w="854"/>
        <w:gridCol w:w="1099"/>
        <w:gridCol w:w="788"/>
        <w:gridCol w:w="845"/>
        <w:gridCol w:w="705"/>
        <w:gridCol w:w="847"/>
        <w:gridCol w:w="727"/>
        <w:gridCol w:w="726"/>
        <w:gridCol w:w="1250"/>
      </w:tblGrid>
      <w:tr>
        <w:tblPrEx>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CellMar>
            <w:top w:w="0" w:type="dxa"/>
            <w:left w:w="108" w:type="dxa"/>
            <w:bottom w:w="0" w:type="dxa"/>
            <w:right w:w="108" w:type="dxa"/>
          </w:tblCellMar>
        </w:tblPrEx>
        <w:trPr>
          <w:trHeight w:val="515" w:hRule="atLeast"/>
          <w:jc w:val="center"/>
        </w:trPr>
        <w:tc>
          <w:tcPr>
            <w:tcW w:w="716" w:type="dxa"/>
            <w:vMerge w:val="restart"/>
            <w:tcBorders>
              <w:top w:val="single" w:color="8064A2" w:sz="8" w:space="0"/>
              <w:left w:val="single" w:color="8064A2" w:sz="8" w:space="0"/>
              <w:bottom w:val="single" w:color="8064A2" w:sz="8" w:space="0"/>
              <w:right w:val="single" w:color="8064A2" w:sz="8" w:space="0"/>
            </w:tcBorders>
            <w:shd w:val="clear" w:color="auto" w:fill="B2A1C7"/>
            <w:noWrap w:val="0"/>
            <w:vAlign w:val="center"/>
          </w:tcPr>
          <w:p>
            <w:pPr>
              <w:snapToGrid w:val="0"/>
              <w:ind w:left="-63" w:leftChars="-30" w:right="-63" w:rightChars="-30"/>
              <w:jc w:val="center"/>
              <w:rPr>
                <w:rFonts w:ascii="仿宋_GB2312" w:hAnsi="黑体" w:eastAsia="仿宋_GB2312"/>
                <w:b/>
                <w:bCs w:val="0"/>
                <w:color w:val="000000"/>
                <w:sz w:val="28"/>
                <w:szCs w:val="28"/>
              </w:rPr>
            </w:pPr>
            <w:r>
              <w:rPr>
                <w:rFonts w:hint="eastAsia" w:ascii="仿宋_GB2312" w:hAnsi="黑体" w:eastAsia="仿宋_GB2312"/>
                <w:b/>
                <w:bCs/>
                <w:color w:val="000000"/>
                <w:sz w:val="28"/>
                <w:szCs w:val="28"/>
              </w:rPr>
              <w:t>学</w:t>
            </w:r>
          </w:p>
          <w:p>
            <w:pPr>
              <w:snapToGrid w:val="0"/>
              <w:ind w:left="-63" w:leftChars="-30" w:right="-63" w:rightChars="-30"/>
              <w:jc w:val="center"/>
              <w:rPr>
                <w:rFonts w:ascii="仿宋_GB2312" w:hAnsi="黑体" w:eastAsia="仿宋_GB2312"/>
                <w:b/>
                <w:bCs w:val="0"/>
                <w:color w:val="000000"/>
                <w:sz w:val="28"/>
                <w:szCs w:val="28"/>
              </w:rPr>
            </w:pPr>
            <w:r>
              <w:rPr>
                <w:rFonts w:hint="eastAsia" w:ascii="仿宋_GB2312" w:hAnsi="黑体" w:eastAsia="仿宋_GB2312"/>
                <w:b/>
                <w:bCs/>
                <w:color w:val="000000"/>
                <w:sz w:val="28"/>
                <w:szCs w:val="28"/>
              </w:rPr>
              <w:t>历</w:t>
            </w:r>
          </w:p>
        </w:tc>
        <w:tc>
          <w:tcPr>
            <w:tcW w:w="883" w:type="dxa"/>
            <w:vMerge w:val="restart"/>
            <w:tcBorders>
              <w:top w:val="single" w:color="8064A2" w:sz="8" w:space="0"/>
              <w:left w:val="single" w:color="8064A2" w:sz="8" w:space="0"/>
              <w:bottom w:val="single" w:color="8064A2" w:sz="8" w:space="0"/>
              <w:right w:val="single" w:color="8064A2" w:sz="8" w:space="0"/>
            </w:tcBorders>
            <w:shd w:val="clear" w:color="auto" w:fill="B2A1C7"/>
            <w:noWrap w:val="0"/>
            <w:vAlign w:val="center"/>
          </w:tcPr>
          <w:p>
            <w:pPr>
              <w:snapToGrid w:val="0"/>
              <w:ind w:left="-63" w:leftChars="-30" w:right="-63" w:rightChars="-30"/>
              <w:jc w:val="center"/>
              <w:rPr>
                <w:rFonts w:ascii="仿宋_GB2312" w:hAnsi="黑体" w:eastAsia="仿宋_GB2312"/>
                <w:b/>
                <w:bCs w:val="0"/>
                <w:color w:val="000000"/>
                <w:sz w:val="28"/>
                <w:szCs w:val="28"/>
              </w:rPr>
            </w:pPr>
            <w:r>
              <w:rPr>
                <w:rFonts w:hint="eastAsia" w:ascii="仿宋_GB2312" w:hAnsi="黑体" w:eastAsia="仿宋_GB2312"/>
                <w:b/>
                <w:bCs/>
                <w:color w:val="000000"/>
                <w:sz w:val="28"/>
                <w:szCs w:val="28"/>
              </w:rPr>
              <w:t>总</w:t>
            </w:r>
          </w:p>
          <w:p>
            <w:pPr>
              <w:snapToGrid w:val="0"/>
              <w:ind w:left="-63" w:leftChars="-30" w:right="-63" w:rightChars="-30"/>
              <w:jc w:val="center"/>
              <w:rPr>
                <w:rFonts w:ascii="仿宋_GB2312" w:hAnsi="黑体" w:eastAsia="仿宋_GB2312"/>
                <w:b/>
                <w:bCs w:val="0"/>
                <w:color w:val="000000"/>
                <w:sz w:val="28"/>
                <w:szCs w:val="28"/>
              </w:rPr>
            </w:pPr>
            <w:r>
              <w:rPr>
                <w:rFonts w:hint="eastAsia" w:ascii="仿宋_GB2312" w:hAnsi="黑体" w:eastAsia="仿宋_GB2312"/>
                <w:b/>
                <w:bCs/>
                <w:color w:val="000000"/>
                <w:sz w:val="28"/>
                <w:szCs w:val="28"/>
              </w:rPr>
              <w:t>人</w:t>
            </w:r>
          </w:p>
          <w:p>
            <w:pPr>
              <w:snapToGrid w:val="0"/>
              <w:ind w:left="-63" w:leftChars="-30" w:right="-63" w:rightChars="-30"/>
              <w:jc w:val="center"/>
              <w:rPr>
                <w:rFonts w:ascii="仿宋_GB2312" w:hAnsi="黑体" w:eastAsia="仿宋_GB2312"/>
                <w:b/>
                <w:bCs w:val="0"/>
                <w:color w:val="000000"/>
                <w:sz w:val="28"/>
                <w:szCs w:val="28"/>
              </w:rPr>
            </w:pPr>
            <w:r>
              <w:rPr>
                <w:rFonts w:hint="eastAsia" w:ascii="仿宋_GB2312" w:hAnsi="黑体" w:eastAsia="仿宋_GB2312"/>
                <w:b/>
                <w:bCs/>
                <w:color w:val="000000"/>
                <w:sz w:val="28"/>
                <w:szCs w:val="28"/>
              </w:rPr>
              <w:t>数</w:t>
            </w:r>
          </w:p>
        </w:tc>
        <w:tc>
          <w:tcPr>
            <w:tcW w:w="3586" w:type="dxa"/>
            <w:gridSpan w:val="4"/>
            <w:tcBorders>
              <w:top w:val="single" w:color="8064A2" w:sz="8" w:space="0"/>
              <w:left w:val="single" w:color="8064A2" w:sz="8" w:space="0"/>
              <w:bottom w:val="single" w:color="8064A2" w:sz="8" w:space="0"/>
              <w:right w:val="single" w:color="8064A2" w:sz="8" w:space="0"/>
            </w:tcBorders>
            <w:shd w:val="clear" w:color="auto" w:fill="B2A1C7"/>
            <w:noWrap w:val="0"/>
            <w:vAlign w:val="center"/>
          </w:tcPr>
          <w:p>
            <w:pPr>
              <w:snapToGrid w:val="0"/>
              <w:ind w:left="-63" w:leftChars="-30" w:right="-63" w:rightChars="-30"/>
              <w:jc w:val="center"/>
              <w:rPr>
                <w:rFonts w:ascii="仿宋_GB2312" w:hAnsi="黑体" w:eastAsia="仿宋_GB2312"/>
                <w:b/>
                <w:bCs w:val="0"/>
                <w:color w:val="000000"/>
                <w:sz w:val="28"/>
                <w:szCs w:val="28"/>
              </w:rPr>
            </w:pPr>
            <w:r>
              <w:rPr>
                <w:rFonts w:hint="eastAsia" w:ascii="仿宋_GB2312" w:hAnsi="黑体" w:eastAsia="仿宋_GB2312"/>
                <w:b/>
                <w:bCs/>
                <w:color w:val="000000"/>
                <w:sz w:val="28"/>
                <w:szCs w:val="28"/>
              </w:rPr>
              <w:t>就业人数（1801）</w:t>
            </w:r>
          </w:p>
        </w:tc>
        <w:tc>
          <w:tcPr>
            <w:tcW w:w="705" w:type="dxa"/>
            <w:vMerge w:val="restart"/>
            <w:tcBorders>
              <w:top w:val="single" w:color="8064A2" w:sz="8" w:space="0"/>
              <w:left w:val="single" w:color="8064A2" w:sz="8" w:space="0"/>
              <w:bottom w:val="single" w:color="8064A2" w:sz="8" w:space="0"/>
              <w:right w:val="single" w:color="8064A2" w:sz="8" w:space="0"/>
            </w:tcBorders>
            <w:shd w:val="clear" w:color="auto" w:fill="B2A1C7"/>
            <w:noWrap w:val="0"/>
            <w:vAlign w:val="center"/>
          </w:tcPr>
          <w:p>
            <w:pPr>
              <w:snapToGrid w:val="0"/>
              <w:ind w:left="-63" w:leftChars="-30" w:right="-63" w:rightChars="-30"/>
              <w:jc w:val="center"/>
              <w:rPr>
                <w:rFonts w:ascii="仿宋_GB2312" w:hAnsi="黑体" w:eastAsia="仿宋_GB2312"/>
                <w:b/>
                <w:bCs w:val="0"/>
                <w:color w:val="000000"/>
                <w:sz w:val="28"/>
                <w:szCs w:val="28"/>
              </w:rPr>
            </w:pPr>
            <w:r>
              <w:rPr>
                <w:rFonts w:hint="eastAsia" w:ascii="仿宋_GB2312" w:hAnsi="黑体" w:eastAsia="仿宋_GB2312"/>
                <w:b/>
                <w:bCs/>
                <w:color w:val="000000"/>
                <w:sz w:val="28"/>
                <w:szCs w:val="28"/>
              </w:rPr>
              <w:t>继续深造</w:t>
            </w:r>
          </w:p>
        </w:tc>
        <w:tc>
          <w:tcPr>
            <w:tcW w:w="847" w:type="dxa"/>
            <w:vMerge w:val="restart"/>
            <w:tcBorders>
              <w:top w:val="single" w:color="8064A2" w:sz="8" w:space="0"/>
              <w:left w:val="single" w:color="8064A2" w:sz="8" w:space="0"/>
              <w:bottom w:val="single" w:color="8064A2" w:sz="8" w:space="0"/>
              <w:right w:val="single" w:color="8064A2" w:sz="8" w:space="0"/>
            </w:tcBorders>
            <w:shd w:val="clear" w:color="auto" w:fill="B2A1C7"/>
            <w:noWrap w:val="0"/>
            <w:vAlign w:val="center"/>
          </w:tcPr>
          <w:p>
            <w:pPr>
              <w:snapToGrid w:val="0"/>
              <w:ind w:left="-63" w:leftChars="-30" w:right="-63" w:rightChars="-30"/>
              <w:jc w:val="center"/>
              <w:rPr>
                <w:rFonts w:ascii="仿宋_GB2312" w:hAnsi="黑体" w:eastAsia="仿宋_GB2312"/>
                <w:b/>
                <w:bCs w:val="0"/>
                <w:color w:val="000000"/>
                <w:sz w:val="28"/>
                <w:szCs w:val="28"/>
              </w:rPr>
            </w:pPr>
            <w:r>
              <w:rPr>
                <w:rFonts w:hint="eastAsia" w:ascii="仿宋_GB2312" w:hAnsi="黑体" w:eastAsia="仿宋_GB2312"/>
                <w:b/>
                <w:bCs/>
                <w:color w:val="000000"/>
                <w:sz w:val="28"/>
                <w:szCs w:val="28"/>
              </w:rPr>
              <w:t>出国</w:t>
            </w:r>
          </w:p>
          <w:p>
            <w:pPr>
              <w:snapToGrid w:val="0"/>
              <w:ind w:left="-63" w:leftChars="-30" w:right="-63" w:rightChars="-30"/>
              <w:jc w:val="center"/>
              <w:rPr>
                <w:rFonts w:ascii="仿宋_GB2312" w:hAnsi="黑体" w:eastAsia="仿宋_GB2312"/>
                <w:b/>
                <w:bCs w:val="0"/>
                <w:color w:val="000000"/>
                <w:sz w:val="28"/>
                <w:szCs w:val="28"/>
              </w:rPr>
            </w:pPr>
            <w:r>
              <w:rPr>
                <w:rFonts w:hint="eastAsia" w:ascii="仿宋_GB2312" w:hAnsi="黑体" w:eastAsia="仿宋_GB2312"/>
                <w:b/>
                <w:bCs/>
                <w:color w:val="000000"/>
                <w:sz w:val="28"/>
                <w:szCs w:val="28"/>
              </w:rPr>
              <w:t>留学或工作</w:t>
            </w:r>
          </w:p>
        </w:tc>
        <w:tc>
          <w:tcPr>
            <w:tcW w:w="727" w:type="dxa"/>
            <w:vMerge w:val="restart"/>
            <w:tcBorders>
              <w:top w:val="single" w:color="8064A2" w:sz="8" w:space="0"/>
              <w:left w:val="single" w:color="8064A2" w:sz="8" w:space="0"/>
              <w:right w:val="single" w:color="8064A2" w:sz="8" w:space="0"/>
            </w:tcBorders>
            <w:shd w:val="clear" w:color="auto" w:fill="B2A1C7"/>
            <w:noWrap w:val="0"/>
            <w:vAlign w:val="top"/>
          </w:tcPr>
          <w:p>
            <w:pPr>
              <w:snapToGrid w:val="0"/>
              <w:ind w:left="-63" w:leftChars="-30" w:right="-63" w:rightChars="-30"/>
              <w:jc w:val="center"/>
              <w:rPr>
                <w:rFonts w:ascii="仿宋_GB2312" w:hAnsi="黑体" w:eastAsia="仿宋_GB2312"/>
                <w:b w:val="0"/>
                <w:bCs w:val="0"/>
                <w:color w:val="000000"/>
                <w:sz w:val="28"/>
                <w:szCs w:val="28"/>
              </w:rPr>
            </w:pPr>
            <w:r>
              <w:rPr>
                <w:rFonts w:hint="eastAsia" w:ascii="仿宋_GB2312" w:hAnsi="黑体" w:eastAsia="仿宋_GB2312" w:cs="宋体"/>
                <w:b/>
                <w:bCs/>
                <w:color w:val="000000"/>
                <w:kern w:val="0"/>
                <w:sz w:val="28"/>
                <w:szCs w:val="28"/>
              </w:rPr>
              <w:t>自由职业</w:t>
            </w:r>
          </w:p>
        </w:tc>
        <w:tc>
          <w:tcPr>
            <w:tcW w:w="726" w:type="dxa"/>
            <w:vMerge w:val="restart"/>
            <w:tcBorders>
              <w:top w:val="single" w:color="8064A2" w:sz="8" w:space="0"/>
              <w:left w:val="single" w:color="8064A2" w:sz="8" w:space="0"/>
              <w:bottom w:val="single" w:color="8064A2" w:sz="8" w:space="0"/>
              <w:right w:val="single" w:color="8064A2" w:sz="8" w:space="0"/>
            </w:tcBorders>
            <w:shd w:val="clear" w:color="auto" w:fill="B2A1C7"/>
            <w:noWrap w:val="0"/>
            <w:vAlign w:val="center"/>
          </w:tcPr>
          <w:p>
            <w:pPr>
              <w:snapToGrid w:val="0"/>
              <w:ind w:left="-63" w:leftChars="-30" w:right="-63" w:rightChars="-30"/>
              <w:jc w:val="center"/>
              <w:rPr>
                <w:rFonts w:ascii="仿宋_GB2312" w:hAnsi="黑体" w:eastAsia="仿宋_GB2312"/>
                <w:b/>
                <w:bCs w:val="0"/>
                <w:color w:val="000000"/>
                <w:sz w:val="28"/>
                <w:szCs w:val="28"/>
              </w:rPr>
            </w:pPr>
            <w:r>
              <w:rPr>
                <w:rFonts w:hint="eastAsia" w:ascii="仿宋_GB2312" w:hAnsi="黑体" w:eastAsia="仿宋_GB2312"/>
                <w:b/>
                <w:bCs/>
                <w:color w:val="000000"/>
                <w:sz w:val="28"/>
                <w:szCs w:val="28"/>
              </w:rPr>
              <w:t>未就业</w:t>
            </w:r>
          </w:p>
        </w:tc>
        <w:tc>
          <w:tcPr>
            <w:tcW w:w="1250" w:type="dxa"/>
            <w:vMerge w:val="restart"/>
            <w:tcBorders>
              <w:top w:val="single" w:color="8064A2" w:sz="8" w:space="0"/>
              <w:left w:val="single" w:color="8064A2" w:sz="8" w:space="0"/>
              <w:bottom w:val="single" w:color="8064A2" w:sz="8" w:space="0"/>
              <w:right w:val="single" w:color="8064A2" w:sz="8" w:space="0"/>
            </w:tcBorders>
            <w:shd w:val="clear" w:color="auto" w:fill="B2A1C7"/>
            <w:noWrap w:val="0"/>
            <w:vAlign w:val="center"/>
          </w:tcPr>
          <w:p>
            <w:pPr>
              <w:snapToGrid w:val="0"/>
              <w:ind w:left="-63" w:leftChars="-30" w:right="-63" w:rightChars="-30"/>
              <w:jc w:val="center"/>
              <w:rPr>
                <w:rFonts w:ascii="仿宋_GB2312" w:hAnsi="黑体" w:eastAsia="仿宋_GB2312"/>
                <w:b/>
                <w:bCs w:val="0"/>
                <w:color w:val="000000"/>
                <w:sz w:val="28"/>
                <w:szCs w:val="28"/>
              </w:rPr>
            </w:pPr>
            <w:r>
              <w:rPr>
                <w:rFonts w:hint="eastAsia" w:ascii="仿宋_GB2312" w:hAnsi="黑体" w:eastAsia="仿宋_GB2312"/>
                <w:b/>
                <w:bCs/>
                <w:color w:val="000000"/>
                <w:sz w:val="28"/>
                <w:szCs w:val="28"/>
              </w:rPr>
              <w:t>就业率</w:t>
            </w:r>
          </w:p>
          <w:p>
            <w:pPr>
              <w:snapToGrid w:val="0"/>
              <w:ind w:left="-63" w:leftChars="-30" w:right="-63" w:rightChars="-30"/>
              <w:jc w:val="center"/>
              <w:rPr>
                <w:rFonts w:ascii="仿宋_GB2312" w:hAnsi="黑体" w:eastAsia="仿宋_GB2312"/>
                <w:b/>
                <w:bCs w:val="0"/>
                <w:color w:val="000000"/>
                <w:sz w:val="28"/>
                <w:szCs w:val="28"/>
              </w:rPr>
            </w:pPr>
            <w:r>
              <w:rPr>
                <w:rFonts w:hint="eastAsia" w:ascii="仿宋_GB2312" w:hAnsi="黑体" w:eastAsia="仿宋_GB2312"/>
                <w:b/>
                <w:bCs/>
                <w:color w:val="000000"/>
                <w:sz w:val="28"/>
                <w:szCs w:val="28"/>
              </w:rPr>
              <w:t>(8月31日)</w:t>
            </w:r>
          </w:p>
        </w:tc>
      </w:tr>
      <w:tr>
        <w:tblPrEx>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CellMar>
            <w:top w:w="0" w:type="dxa"/>
            <w:left w:w="108" w:type="dxa"/>
            <w:bottom w:w="0" w:type="dxa"/>
            <w:right w:w="108" w:type="dxa"/>
          </w:tblCellMar>
        </w:tblPrEx>
        <w:trPr>
          <w:trHeight w:val="1301" w:hRule="atLeast"/>
          <w:jc w:val="center"/>
        </w:trPr>
        <w:tc>
          <w:tcPr>
            <w:tcW w:w="716" w:type="dxa"/>
            <w:vMerge w:val="continue"/>
            <w:tcBorders>
              <w:top w:val="single" w:color="8064A2" w:sz="8" w:space="0"/>
              <w:left w:val="single" w:color="8064A2" w:sz="8" w:space="0"/>
              <w:bottom w:val="single" w:color="8064A2" w:sz="8" w:space="0"/>
              <w:right w:val="single" w:color="8064A2" w:sz="8" w:space="0"/>
            </w:tcBorders>
            <w:shd w:val="clear" w:color="auto" w:fill="D8D3E0"/>
            <w:noWrap w:val="0"/>
            <w:vAlign w:val="center"/>
          </w:tcPr>
          <w:p>
            <w:pPr>
              <w:ind w:left="-63" w:leftChars="-30" w:right="-63" w:rightChars="-30"/>
              <w:jc w:val="center"/>
              <w:rPr>
                <w:rFonts w:ascii="黑体" w:hAnsi="黑体" w:eastAsia="黑体"/>
                <w:b w:val="0"/>
                <w:bCs/>
                <w:color w:val="000000"/>
                <w:sz w:val="28"/>
                <w:szCs w:val="28"/>
              </w:rPr>
            </w:pPr>
          </w:p>
        </w:tc>
        <w:tc>
          <w:tcPr>
            <w:tcW w:w="883" w:type="dxa"/>
            <w:vMerge w:val="continue"/>
            <w:tcBorders>
              <w:top w:val="single" w:color="8064A2" w:sz="8" w:space="0"/>
              <w:left w:val="single" w:color="8064A2" w:sz="8" w:space="0"/>
              <w:bottom w:val="single" w:color="8064A2" w:sz="8" w:space="0"/>
              <w:right w:val="single" w:color="8064A2" w:sz="8" w:space="0"/>
            </w:tcBorders>
            <w:shd w:val="clear" w:color="auto" w:fill="D8D3E0"/>
            <w:noWrap w:val="0"/>
            <w:vAlign w:val="center"/>
          </w:tcPr>
          <w:p>
            <w:pPr>
              <w:ind w:left="-63" w:leftChars="-30" w:right="-63" w:rightChars="-30"/>
              <w:jc w:val="center"/>
              <w:rPr>
                <w:rFonts w:ascii="黑体" w:hAnsi="黑体" w:eastAsia="黑体"/>
                <w:b/>
                <w:color w:val="000000"/>
                <w:sz w:val="28"/>
                <w:szCs w:val="28"/>
              </w:rPr>
            </w:pPr>
          </w:p>
        </w:tc>
        <w:tc>
          <w:tcPr>
            <w:tcW w:w="854" w:type="dxa"/>
            <w:tcBorders>
              <w:top w:val="single" w:color="8064A2" w:sz="8" w:space="0"/>
              <w:left w:val="single" w:color="8064A2" w:sz="8" w:space="0"/>
              <w:bottom w:val="single" w:color="8064A2" w:sz="8" w:space="0"/>
              <w:right w:val="single" w:color="8064A2" w:sz="8" w:space="0"/>
            </w:tcBorders>
            <w:shd w:val="clear" w:color="auto" w:fill="D8D3E0"/>
            <w:noWrap w:val="0"/>
            <w:vAlign w:val="center"/>
          </w:tcPr>
          <w:p>
            <w:pPr>
              <w:spacing w:line="440" w:lineRule="exact"/>
              <w:ind w:left="-63" w:leftChars="-30" w:right="-63" w:rightChars="-30"/>
              <w:jc w:val="center"/>
              <w:rPr>
                <w:rFonts w:ascii="黑体" w:hAnsi="黑体" w:eastAsia="黑体"/>
                <w:bCs/>
                <w:color w:val="000000"/>
                <w:sz w:val="28"/>
                <w:szCs w:val="28"/>
              </w:rPr>
            </w:pPr>
            <w:r>
              <w:rPr>
                <w:rFonts w:hint="eastAsia" w:ascii="黑体" w:hAnsi="黑体" w:eastAsia="黑体"/>
                <w:bCs/>
                <w:color w:val="000000"/>
                <w:sz w:val="28"/>
                <w:szCs w:val="28"/>
              </w:rPr>
              <w:t>签约就业</w:t>
            </w:r>
            <w:r>
              <w:rPr>
                <w:rStyle w:val="39"/>
                <w:rFonts w:hint="eastAsia" w:ascii="黑体" w:hAnsi="黑体" w:eastAsia="黑体" w:cs="宋体"/>
                <w:bCs/>
                <w:color w:val="000000"/>
                <w:sz w:val="28"/>
                <w:szCs w:val="28"/>
              </w:rPr>
              <w:footnoteReference w:id="0" w:customMarkFollows="1"/>
              <w:t>③</w:t>
            </w:r>
          </w:p>
        </w:tc>
        <w:tc>
          <w:tcPr>
            <w:tcW w:w="1099" w:type="dxa"/>
            <w:tcBorders>
              <w:top w:val="single" w:color="8064A2" w:sz="8" w:space="0"/>
              <w:left w:val="single" w:color="8064A2" w:sz="8" w:space="0"/>
              <w:bottom w:val="single" w:color="8064A2" w:sz="8" w:space="0"/>
              <w:right w:val="single" w:color="8064A2" w:sz="8" w:space="0"/>
            </w:tcBorders>
            <w:shd w:val="clear" w:color="auto" w:fill="D8D3E0"/>
            <w:noWrap w:val="0"/>
            <w:vAlign w:val="center"/>
          </w:tcPr>
          <w:p>
            <w:pPr>
              <w:spacing w:line="440" w:lineRule="exact"/>
              <w:ind w:left="-63" w:leftChars="-30" w:right="-63" w:rightChars="-30"/>
              <w:jc w:val="center"/>
              <w:rPr>
                <w:rFonts w:ascii="黑体" w:hAnsi="黑体" w:eastAsia="黑体"/>
                <w:bCs/>
                <w:color w:val="000000"/>
                <w:sz w:val="28"/>
                <w:szCs w:val="28"/>
              </w:rPr>
            </w:pPr>
            <w:r>
              <w:rPr>
                <w:rFonts w:hint="eastAsia" w:ascii="黑体" w:hAnsi="黑体" w:eastAsia="黑体"/>
                <w:bCs/>
                <w:color w:val="000000"/>
                <w:sz w:val="28"/>
                <w:szCs w:val="28"/>
              </w:rPr>
              <w:t>聘用（灵活就业）</w:t>
            </w:r>
            <w:r>
              <w:rPr>
                <w:rStyle w:val="39"/>
                <w:rFonts w:hint="eastAsia" w:ascii="黑体" w:hAnsi="黑体" w:eastAsia="黑体" w:cs="宋体"/>
                <w:bCs/>
                <w:color w:val="000000"/>
                <w:sz w:val="28"/>
                <w:szCs w:val="28"/>
              </w:rPr>
              <w:footnoteReference w:id="1" w:customMarkFollows="1"/>
              <w:t>④</w:t>
            </w:r>
          </w:p>
        </w:tc>
        <w:tc>
          <w:tcPr>
            <w:tcW w:w="788" w:type="dxa"/>
            <w:tcBorders>
              <w:top w:val="single" w:color="8064A2" w:sz="8" w:space="0"/>
              <w:left w:val="single" w:color="8064A2" w:sz="8" w:space="0"/>
              <w:bottom w:val="single" w:color="8064A2" w:sz="8" w:space="0"/>
              <w:right w:val="single" w:color="8064A2" w:sz="8" w:space="0"/>
            </w:tcBorders>
            <w:shd w:val="clear" w:color="auto" w:fill="D8D3E0"/>
            <w:noWrap w:val="0"/>
            <w:vAlign w:val="center"/>
          </w:tcPr>
          <w:p>
            <w:pPr>
              <w:spacing w:line="440" w:lineRule="exact"/>
              <w:ind w:left="-63" w:leftChars="-30" w:right="-63" w:rightChars="-30"/>
              <w:jc w:val="center"/>
              <w:rPr>
                <w:rFonts w:ascii="黑体" w:hAnsi="黑体" w:eastAsia="黑体"/>
                <w:bCs/>
                <w:color w:val="000000"/>
                <w:sz w:val="28"/>
                <w:szCs w:val="28"/>
              </w:rPr>
            </w:pPr>
            <w:r>
              <w:rPr>
                <w:rFonts w:hint="eastAsia" w:ascii="黑体" w:hAnsi="黑体" w:eastAsia="黑体"/>
                <w:bCs/>
                <w:color w:val="000000"/>
                <w:sz w:val="28"/>
                <w:szCs w:val="28"/>
              </w:rPr>
              <w:t>自主</w:t>
            </w:r>
          </w:p>
          <w:p>
            <w:pPr>
              <w:spacing w:line="440" w:lineRule="exact"/>
              <w:ind w:left="-63" w:leftChars="-30" w:right="-63" w:rightChars="-30"/>
              <w:jc w:val="center"/>
              <w:rPr>
                <w:rFonts w:ascii="黑体" w:hAnsi="黑体" w:eastAsia="黑体"/>
                <w:bCs/>
                <w:color w:val="000000"/>
                <w:sz w:val="28"/>
                <w:szCs w:val="28"/>
              </w:rPr>
            </w:pPr>
            <w:r>
              <w:rPr>
                <w:rFonts w:hint="eastAsia" w:ascii="黑体" w:hAnsi="黑体" w:eastAsia="黑体"/>
                <w:bCs/>
                <w:color w:val="000000"/>
                <w:sz w:val="28"/>
                <w:szCs w:val="28"/>
              </w:rPr>
              <w:t>创业</w:t>
            </w:r>
          </w:p>
        </w:tc>
        <w:tc>
          <w:tcPr>
            <w:tcW w:w="845" w:type="dxa"/>
            <w:tcBorders>
              <w:top w:val="single" w:color="8064A2" w:sz="8" w:space="0"/>
              <w:left w:val="single" w:color="8064A2" w:sz="8" w:space="0"/>
              <w:bottom w:val="single" w:color="8064A2" w:sz="8" w:space="0"/>
              <w:right w:val="single" w:color="8064A2" w:sz="8" w:space="0"/>
            </w:tcBorders>
            <w:shd w:val="clear" w:color="auto" w:fill="D8D3E0"/>
            <w:noWrap w:val="0"/>
            <w:vAlign w:val="center"/>
          </w:tcPr>
          <w:p>
            <w:pPr>
              <w:spacing w:line="440" w:lineRule="exact"/>
              <w:ind w:left="-63" w:leftChars="-30" w:right="-63" w:rightChars="-30"/>
              <w:jc w:val="center"/>
              <w:rPr>
                <w:rFonts w:ascii="黑体" w:hAnsi="黑体" w:eastAsia="黑体"/>
                <w:b/>
                <w:color w:val="000000"/>
                <w:sz w:val="28"/>
                <w:szCs w:val="28"/>
              </w:rPr>
            </w:pPr>
            <w:r>
              <w:rPr>
                <w:rFonts w:hint="eastAsia" w:ascii="黑体" w:hAnsi="黑体" w:eastAsia="黑体"/>
                <w:bCs/>
                <w:color w:val="000000"/>
                <w:sz w:val="28"/>
                <w:szCs w:val="28"/>
              </w:rPr>
              <w:t>国家、地方项目</w:t>
            </w:r>
          </w:p>
        </w:tc>
        <w:tc>
          <w:tcPr>
            <w:tcW w:w="705" w:type="dxa"/>
            <w:vMerge w:val="continue"/>
            <w:tcBorders>
              <w:top w:val="single" w:color="8064A2" w:sz="8" w:space="0"/>
              <w:left w:val="single" w:color="8064A2" w:sz="8" w:space="0"/>
              <w:bottom w:val="single" w:color="8064A2" w:sz="8" w:space="0"/>
              <w:right w:val="single" w:color="8064A2" w:sz="8" w:space="0"/>
            </w:tcBorders>
            <w:shd w:val="clear" w:color="auto" w:fill="D8D3E0"/>
            <w:noWrap w:val="0"/>
            <w:vAlign w:val="center"/>
          </w:tcPr>
          <w:p>
            <w:pPr>
              <w:ind w:left="-63" w:leftChars="-30" w:right="-63" w:rightChars="-30"/>
              <w:jc w:val="center"/>
              <w:rPr>
                <w:rFonts w:ascii="黑体" w:hAnsi="黑体" w:eastAsia="黑体"/>
                <w:b/>
                <w:color w:val="000000"/>
                <w:sz w:val="28"/>
                <w:szCs w:val="28"/>
              </w:rPr>
            </w:pPr>
          </w:p>
        </w:tc>
        <w:tc>
          <w:tcPr>
            <w:tcW w:w="847" w:type="dxa"/>
            <w:vMerge w:val="continue"/>
            <w:tcBorders>
              <w:top w:val="single" w:color="8064A2" w:sz="8" w:space="0"/>
              <w:left w:val="single" w:color="8064A2" w:sz="8" w:space="0"/>
              <w:bottom w:val="single" w:color="8064A2" w:sz="8" w:space="0"/>
              <w:right w:val="single" w:color="8064A2" w:sz="8" w:space="0"/>
            </w:tcBorders>
            <w:shd w:val="clear" w:color="auto" w:fill="D8D3E0"/>
            <w:noWrap w:val="0"/>
            <w:vAlign w:val="center"/>
          </w:tcPr>
          <w:p>
            <w:pPr>
              <w:ind w:left="-63" w:leftChars="-30" w:right="-63" w:rightChars="-30"/>
              <w:jc w:val="center"/>
              <w:rPr>
                <w:rFonts w:ascii="黑体" w:hAnsi="黑体" w:eastAsia="黑体"/>
                <w:b/>
                <w:color w:val="000000"/>
                <w:sz w:val="28"/>
                <w:szCs w:val="28"/>
              </w:rPr>
            </w:pPr>
          </w:p>
        </w:tc>
        <w:tc>
          <w:tcPr>
            <w:tcW w:w="727" w:type="dxa"/>
            <w:vMerge w:val="continue"/>
            <w:tcBorders>
              <w:left w:val="single" w:color="8064A2" w:sz="8" w:space="0"/>
              <w:bottom w:val="single" w:color="8064A2" w:sz="8" w:space="0"/>
              <w:right w:val="single" w:color="8064A2" w:sz="8" w:space="0"/>
            </w:tcBorders>
            <w:shd w:val="clear" w:color="auto" w:fill="D8D3E0"/>
            <w:noWrap w:val="0"/>
            <w:vAlign w:val="top"/>
          </w:tcPr>
          <w:p>
            <w:pPr>
              <w:ind w:left="-63" w:leftChars="-30" w:right="-63" w:rightChars="-30"/>
              <w:jc w:val="center"/>
              <w:rPr>
                <w:rFonts w:ascii="黑体" w:hAnsi="黑体" w:eastAsia="黑体"/>
                <w:b/>
                <w:color w:val="000000"/>
                <w:sz w:val="28"/>
                <w:szCs w:val="28"/>
              </w:rPr>
            </w:pPr>
          </w:p>
        </w:tc>
        <w:tc>
          <w:tcPr>
            <w:tcW w:w="726" w:type="dxa"/>
            <w:vMerge w:val="continue"/>
            <w:tcBorders>
              <w:top w:val="single" w:color="8064A2" w:sz="8" w:space="0"/>
              <w:left w:val="single" w:color="8064A2" w:sz="8" w:space="0"/>
              <w:bottom w:val="single" w:color="8064A2" w:sz="8" w:space="0"/>
              <w:right w:val="single" w:color="8064A2" w:sz="8" w:space="0"/>
            </w:tcBorders>
            <w:shd w:val="clear" w:color="auto" w:fill="D8D3E0"/>
            <w:noWrap w:val="0"/>
            <w:vAlign w:val="center"/>
          </w:tcPr>
          <w:p>
            <w:pPr>
              <w:ind w:left="-63" w:leftChars="-30" w:right="-63" w:rightChars="-30"/>
              <w:jc w:val="center"/>
              <w:rPr>
                <w:rFonts w:ascii="黑体" w:hAnsi="黑体" w:eastAsia="黑体"/>
                <w:b/>
                <w:color w:val="000000"/>
                <w:sz w:val="28"/>
                <w:szCs w:val="28"/>
              </w:rPr>
            </w:pPr>
          </w:p>
        </w:tc>
        <w:tc>
          <w:tcPr>
            <w:tcW w:w="1250" w:type="dxa"/>
            <w:vMerge w:val="continue"/>
            <w:tcBorders>
              <w:top w:val="single" w:color="8064A2" w:sz="8" w:space="0"/>
              <w:left w:val="single" w:color="8064A2" w:sz="8" w:space="0"/>
              <w:bottom w:val="single" w:color="8064A2" w:sz="8" w:space="0"/>
              <w:right w:val="single" w:color="8064A2" w:sz="8" w:space="0"/>
            </w:tcBorders>
            <w:shd w:val="clear" w:color="auto" w:fill="D8D3E0"/>
            <w:noWrap w:val="0"/>
            <w:vAlign w:val="center"/>
          </w:tcPr>
          <w:p>
            <w:pPr>
              <w:ind w:left="-63" w:leftChars="-30" w:right="-63" w:rightChars="-30"/>
              <w:jc w:val="center"/>
              <w:rPr>
                <w:rFonts w:ascii="黑体" w:hAnsi="黑体" w:eastAsia="黑体"/>
                <w:b/>
                <w:color w:val="000000"/>
                <w:sz w:val="28"/>
                <w:szCs w:val="28"/>
              </w:rPr>
            </w:pPr>
          </w:p>
        </w:tc>
      </w:tr>
      <w:tr>
        <w:tblPrEx>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CellMar>
            <w:top w:w="0" w:type="dxa"/>
            <w:left w:w="108" w:type="dxa"/>
            <w:bottom w:w="0" w:type="dxa"/>
            <w:right w:w="108" w:type="dxa"/>
          </w:tblCellMar>
        </w:tblPrEx>
        <w:trPr>
          <w:trHeight w:val="728" w:hRule="atLeast"/>
          <w:jc w:val="center"/>
        </w:trPr>
        <w:tc>
          <w:tcPr>
            <w:tcW w:w="716" w:type="dxa"/>
            <w:tcBorders>
              <w:top w:val="single" w:color="8064A2" w:sz="8" w:space="0"/>
              <w:left w:val="single" w:color="8064A2" w:sz="8" w:space="0"/>
              <w:bottom w:val="single" w:color="8064A2" w:sz="8" w:space="0"/>
              <w:right w:val="single" w:color="8064A2" w:sz="8" w:space="0"/>
            </w:tcBorders>
            <w:shd w:val="clear" w:color="auto" w:fill="D8D3E0"/>
            <w:noWrap w:val="0"/>
            <w:vAlign w:val="center"/>
          </w:tcPr>
          <w:p>
            <w:pPr>
              <w:ind w:left="-42" w:leftChars="-20" w:right="-42" w:rightChars="-20"/>
              <w:jc w:val="center"/>
              <w:rPr>
                <w:rFonts w:ascii="仿宋_GB2312" w:eastAsia="仿宋_GB2312"/>
                <w:b w:val="0"/>
                <w:bCs/>
                <w:color w:val="000000"/>
                <w:sz w:val="28"/>
                <w:szCs w:val="28"/>
              </w:rPr>
            </w:pPr>
            <w:r>
              <w:rPr>
                <w:rFonts w:hint="eastAsia" w:ascii="仿宋_GB2312" w:eastAsia="仿宋_GB2312"/>
                <w:b/>
                <w:bCs/>
                <w:color w:val="000000"/>
                <w:sz w:val="28"/>
                <w:szCs w:val="28"/>
              </w:rPr>
              <w:t>本科</w:t>
            </w:r>
          </w:p>
        </w:tc>
        <w:tc>
          <w:tcPr>
            <w:tcW w:w="883" w:type="dxa"/>
            <w:tcBorders>
              <w:top w:val="single" w:color="8064A2" w:sz="8" w:space="0"/>
              <w:left w:val="single" w:color="8064A2" w:sz="8" w:space="0"/>
              <w:bottom w:val="single" w:color="8064A2" w:sz="8" w:space="0"/>
              <w:right w:val="single" w:color="8064A2" w:sz="8" w:space="0"/>
            </w:tcBorders>
            <w:shd w:val="clear" w:color="auto" w:fill="D8D3E0"/>
            <w:noWrap w:val="0"/>
            <w:vAlign w:val="center"/>
          </w:tcPr>
          <w:p>
            <w:pPr>
              <w:jc w:val="center"/>
              <w:rPr>
                <w:rFonts w:ascii="仿宋_GB2312" w:eastAsia="仿宋_GB2312"/>
                <w:color w:val="000000"/>
                <w:sz w:val="28"/>
                <w:szCs w:val="28"/>
              </w:rPr>
            </w:pPr>
            <w:r>
              <w:rPr>
                <w:rFonts w:hint="eastAsia" w:ascii="仿宋_GB2312" w:eastAsia="仿宋_GB2312"/>
                <w:color w:val="000000"/>
                <w:sz w:val="28"/>
                <w:szCs w:val="28"/>
              </w:rPr>
              <w:t>2411</w:t>
            </w:r>
          </w:p>
        </w:tc>
        <w:tc>
          <w:tcPr>
            <w:tcW w:w="854" w:type="dxa"/>
            <w:tcBorders>
              <w:top w:val="single" w:color="8064A2" w:sz="8" w:space="0"/>
              <w:left w:val="single" w:color="8064A2" w:sz="8" w:space="0"/>
              <w:bottom w:val="single" w:color="8064A2" w:sz="8" w:space="0"/>
              <w:right w:val="single" w:color="8064A2" w:sz="8" w:space="0"/>
            </w:tcBorders>
            <w:shd w:val="clear" w:color="auto" w:fill="D8D3E0"/>
            <w:noWrap w:val="0"/>
            <w:vAlign w:val="center"/>
          </w:tcPr>
          <w:p>
            <w:pPr>
              <w:jc w:val="center"/>
              <w:rPr>
                <w:rFonts w:ascii="仿宋_GB2312" w:eastAsia="仿宋_GB2312"/>
                <w:color w:val="000000"/>
                <w:sz w:val="28"/>
                <w:szCs w:val="28"/>
              </w:rPr>
            </w:pPr>
            <w:r>
              <w:rPr>
                <w:rFonts w:hint="eastAsia" w:ascii="仿宋_GB2312" w:eastAsia="仿宋_GB2312"/>
                <w:color w:val="000000"/>
                <w:sz w:val="28"/>
                <w:szCs w:val="28"/>
              </w:rPr>
              <w:t>284</w:t>
            </w:r>
          </w:p>
        </w:tc>
        <w:tc>
          <w:tcPr>
            <w:tcW w:w="1099" w:type="dxa"/>
            <w:tcBorders>
              <w:top w:val="single" w:color="8064A2" w:sz="8" w:space="0"/>
              <w:left w:val="single" w:color="8064A2" w:sz="8" w:space="0"/>
              <w:bottom w:val="single" w:color="8064A2" w:sz="8" w:space="0"/>
              <w:right w:val="single" w:color="8064A2" w:sz="8" w:space="0"/>
            </w:tcBorders>
            <w:shd w:val="clear" w:color="auto" w:fill="D8D3E0"/>
            <w:noWrap w:val="0"/>
            <w:vAlign w:val="center"/>
          </w:tcPr>
          <w:p>
            <w:pPr>
              <w:jc w:val="center"/>
              <w:rPr>
                <w:rFonts w:ascii="仿宋_GB2312" w:eastAsia="仿宋_GB2312"/>
                <w:color w:val="000000"/>
                <w:sz w:val="28"/>
                <w:szCs w:val="28"/>
              </w:rPr>
            </w:pPr>
            <w:r>
              <w:rPr>
                <w:rFonts w:hint="eastAsia" w:ascii="仿宋_GB2312" w:eastAsia="仿宋_GB2312"/>
                <w:color w:val="000000"/>
                <w:sz w:val="28"/>
                <w:szCs w:val="28"/>
              </w:rPr>
              <w:t>1232</w:t>
            </w:r>
          </w:p>
        </w:tc>
        <w:tc>
          <w:tcPr>
            <w:tcW w:w="788" w:type="dxa"/>
            <w:tcBorders>
              <w:top w:val="single" w:color="8064A2" w:sz="8" w:space="0"/>
              <w:left w:val="single" w:color="8064A2" w:sz="8" w:space="0"/>
              <w:bottom w:val="single" w:color="8064A2" w:sz="8" w:space="0"/>
              <w:right w:val="single" w:color="8064A2" w:sz="8" w:space="0"/>
            </w:tcBorders>
            <w:shd w:val="clear" w:color="auto" w:fill="D8D3E0"/>
            <w:noWrap w:val="0"/>
            <w:vAlign w:val="center"/>
          </w:tcPr>
          <w:p>
            <w:pPr>
              <w:jc w:val="center"/>
              <w:rPr>
                <w:rFonts w:ascii="仿宋_GB2312" w:eastAsia="仿宋_GB2312"/>
                <w:color w:val="000000"/>
                <w:sz w:val="28"/>
                <w:szCs w:val="28"/>
              </w:rPr>
            </w:pPr>
            <w:r>
              <w:rPr>
                <w:rFonts w:hint="eastAsia" w:ascii="仿宋_GB2312" w:eastAsia="仿宋_GB2312"/>
                <w:color w:val="000000"/>
                <w:sz w:val="28"/>
                <w:szCs w:val="28"/>
              </w:rPr>
              <w:t>6</w:t>
            </w:r>
          </w:p>
        </w:tc>
        <w:tc>
          <w:tcPr>
            <w:tcW w:w="845" w:type="dxa"/>
            <w:tcBorders>
              <w:top w:val="single" w:color="8064A2" w:sz="8" w:space="0"/>
              <w:left w:val="single" w:color="8064A2" w:sz="8" w:space="0"/>
              <w:bottom w:val="single" w:color="8064A2" w:sz="8" w:space="0"/>
              <w:right w:val="single" w:color="8064A2" w:sz="8" w:space="0"/>
            </w:tcBorders>
            <w:shd w:val="clear" w:color="auto" w:fill="D8D3E0"/>
            <w:noWrap w:val="0"/>
            <w:vAlign w:val="center"/>
          </w:tcPr>
          <w:p>
            <w:pPr>
              <w:jc w:val="center"/>
              <w:rPr>
                <w:rFonts w:ascii="仿宋_GB2312" w:eastAsia="仿宋_GB2312"/>
                <w:color w:val="000000"/>
                <w:sz w:val="28"/>
                <w:szCs w:val="28"/>
              </w:rPr>
            </w:pPr>
            <w:r>
              <w:rPr>
                <w:rFonts w:hint="eastAsia" w:ascii="仿宋_GB2312" w:eastAsia="仿宋_GB2312"/>
                <w:color w:val="000000"/>
                <w:sz w:val="28"/>
                <w:szCs w:val="28"/>
              </w:rPr>
              <w:t>1</w:t>
            </w:r>
          </w:p>
        </w:tc>
        <w:tc>
          <w:tcPr>
            <w:tcW w:w="705" w:type="dxa"/>
            <w:tcBorders>
              <w:top w:val="single" w:color="8064A2" w:sz="8" w:space="0"/>
              <w:left w:val="single" w:color="8064A2" w:sz="8" w:space="0"/>
              <w:bottom w:val="single" w:color="8064A2" w:sz="8" w:space="0"/>
              <w:right w:val="single" w:color="8064A2" w:sz="8" w:space="0"/>
            </w:tcBorders>
            <w:shd w:val="clear" w:color="auto" w:fill="D8D3E0"/>
            <w:noWrap w:val="0"/>
            <w:vAlign w:val="center"/>
          </w:tcPr>
          <w:p>
            <w:pPr>
              <w:jc w:val="center"/>
              <w:rPr>
                <w:rFonts w:ascii="仿宋_GB2312" w:eastAsia="仿宋_GB2312"/>
                <w:color w:val="000000"/>
                <w:sz w:val="28"/>
                <w:szCs w:val="28"/>
              </w:rPr>
            </w:pPr>
            <w:r>
              <w:rPr>
                <w:rFonts w:hint="eastAsia" w:ascii="仿宋_GB2312" w:eastAsia="仿宋_GB2312"/>
                <w:color w:val="000000"/>
                <w:sz w:val="28"/>
                <w:szCs w:val="28"/>
              </w:rPr>
              <w:t>181</w:t>
            </w:r>
          </w:p>
        </w:tc>
        <w:tc>
          <w:tcPr>
            <w:tcW w:w="847" w:type="dxa"/>
            <w:tcBorders>
              <w:top w:val="single" w:color="8064A2" w:sz="8" w:space="0"/>
              <w:left w:val="single" w:color="8064A2" w:sz="8" w:space="0"/>
              <w:bottom w:val="single" w:color="8064A2" w:sz="8" w:space="0"/>
              <w:right w:val="single" w:color="8064A2" w:sz="8" w:space="0"/>
            </w:tcBorders>
            <w:shd w:val="clear" w:color="auto" w:fill="D8D3E0"/>
            <w:noWrap w:val="0"/>
            <w:vAlign w:val="center"/>
          </w:tcPr>
          <w:p>
            <w:pPr>
              <w:jc w:val="center"/>
              <w:rPr>
                <w:rFonts w:ascii="仿宋_GB2312" w:eastAsia="仿宋_GB2312"/>
                <w:color w:val="000000"/>
                <w:sz w:val="28"/>
                <w:szCs w:val="28"/>
              </w:rPr>
            </w:pPr>
            <w:r>
              <w:rPr>
                <w:rFonts w:hint="eastAsia" w:ascii="仿宋_GB2312" w:eastAsia="仿宋_GB2312"/>
                <w:color w:val="000000"/>
                <w:sz w:val="28"/>
                <w:szCs w:val="28"/>
              </w:rPr>
              <w:t>52</w:t>
            </w:r>
          </w:p>
        </w:tc>
        <w:tc>
          <w:tcPr>
            <w:tcW w:w="727" w:type="dxa"/>
            <w:tcBorders>
              <w:top w:val="single" w:color="8064A2" w:sz="8" w:space="0"/>
              <w:left w:val="single" w:color="8064A2" w:sz="8" w:space="0"/>
              <w:bottom w:val="single" w:color="8064A2" w:sz="8" w:space="0"/>
              <w:right w:val="single" w:color="8064A2" w:sz="8" w:space="0"/>
            </w:tcBorders>
            <w:shd w:val="clear" w:color="auto" w:fill="D8D3E0"/>
            <w:noWrap w:val="0"/>
            <w:vAlign w:val="top"/>
          </w:tcPr>
          <w:p>
            <w:pPr>
              <w:jc w:val="center"/>
              <w:rPr>
                <w:rFonts w:ascii="仿宋_GB2312" w:eastAsia="仿宋_GB2312"/>
                <w:color w:val="000000"/>
                <w:sz w:val="28"/>
                <w:szCs w:val="28"/>
              </w:rPr>
            </w:pPr>
            <w:r>
              <w:rPr>
                <w:rFonts w:hint="eastAsia" w:ascii="仿宋_GB2312" w:eastAsia="仿宋_GB2312"/>
                <w:color w:val="000000"/>
                <w:sz w:val="28"/>
                <w:szCs w:val="28"/>
              </w:rPr>
              <w:t>45</w:t>
            </w:r>
          </w:p>
        </w:tc>
        <w:tc>
          <w:tcPr>
            <w:tcW w:w="726" w:type="dxa"/>
            <w:tcBorders>
              <w:top w:val="single" w:color="8064A2" w:sz="8" w:space="0"/>
              <w:left w:val="single" w:color="8064A2" w:sz="8" w:space="0"/>
              <w:bottom w:val="single" w:color="8064A2" w:sz="8" w:space="0"/>
              <w:right w:val="single" w:color="8064A2" w:sz="8" w:space="0"/>
            </w:tcBorders>
            <w:shd w:val="clear" w:color="auto" w:fill="D8D3E0"/>
            <w:noWrap w:val="0"/>
            <w:vAlign w:val="center"/>
          </w:tcPr>
          <w:p>
            <w:pPr>
              <w:jc w:val="center"/>
              <w:rPr>
                <w:rFonts w:ascii="仿宋_GB2312" w:eastAsia="仿宋_GB2312"/>
                <w:color w:val="000000"/>
                <w:sz w:val="28"/>
                <w:szCs w:val="28"/>
              </w:rPr>
            </w:pPr>
            <w:r>
              <w:rPr>
                <w:rFonts w:hint="eastAsia" w:ascii="仿宋_GB2312" w:eastAsia="仿宋_GB2312"/>
                <w:color w:val="000000"/>
                <w:sz w:val="28"/>
                <w:szCs w:val="28"/>
              </w:rPr>
              <w:t>610</w:t>
            </w:r>
          </w:p>
        </w:tc>
        <w:tc>
          <w:tcPr>
            <w:tcW w:w="1250" w:type="dxa"/>
            <w:tcBorders>
              <w:top w:val="single" w:color="8064A2" w:sz="8" w:space="0"/>
              <w:left w:val="single" w:color="8064A2" w:sz="8" w:space="0"/>
              <w:bottom w:val="single" w:color="8064A2" w:sz="8" w:space="0"/>
              <w:right w:val="single" w:color="8064A2" w:sz="8" w:space="0"/>
            </w:tcBorders>
            <w:shd w:val="clear" w:color="auto" w:fill="D8D3E0"/>
            <w:noWrap w:val="0"/>
            <w:vAlign w:val="center"/>
          </w:tcPr>
          <w:p>
            <w:pPr>
              <w:jc w:val="center"/>
              <w:rPr>
                <w:rFonts w:ascii="仿宋_GB2312" w:eastAsia="仿宋_GB2312"/>
                <w:color w:val="000000"/>
                <w:sz w:val="28"/>
                <w:szCs w:val="28"/>
              </w:rPr>
            </w:pPr>
            <w:r>
              <w:rPr>
                <w:rFonts w:hint="eastAsia" w:ascii="仿宋_GB2312" w:eastAsia="仿宋_GB2312"/>
                <w:color w:val="000000"/>
                <w:sz w:val="28"/>
                <w:szCs w:val="28"/>
              </w:rPr>
              <w:t>74.70%</w:t>
            </w:r>
          </w:p>
        </w:tc>
      </w:tr>
      <w:tr>
        <w:tblPrEx>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CellMar>
            <w:top w:w="0" w:type="dxa"/>
            <w:left w:w="108" w:type="dxa"/>
            <w:bottom w:w="0" w:type="dxa"/>
            <w:right w:w="108" w:type="dxa"/>
          </w:tblCellMar>
        </w:tblPrEx>
        <w:trPr>
          <w:trHeight w:val="766" w:hRule="atLeast"/>
          <w:jc w:val="center"/>
        </w:trPr>
        <w:tc>
          <w:tcPr>
            <w:tcW w:w="716" w:type="dxa"/>
            <w:tcBorders>
              <w:top w:val="single" w:color="8064A2" w:sz="8" w:space="0"/>
              <w:left w:val="single" w:color="8064A2" w:sz="8" w:space="0"/>
              <w:bottom w:val="single" w:color="8064A2" w:sz="8" w:space="0"/>
              <w:right w:val="single" w:color="8064A2" w:sz="8" w:space="0"/>
            </w:tcBorders>
            <w:shd w:val="clear" w:color="auto" w:fill="EDEAF0"/>
            <w:noWrap w:val="0"/>
            <w:vAlign w:val="center"/>
          </w:tcPr>
          <w:p>
            <w:pPr>
              <w:ind w:left="-42" w:leftChars="-20" w:right="-42" w:rightChars="-20"/>
              <w:jc w:val="center"/>
              <w:rPr>
                <w:rFonts w:ascii="仿宋_GB2312" w:eastAsia="仿宋_GB2312"/>
                <w:b w:val="0"/>
                <w:bCs/>
                <w:color w:val="000000"/>
                <w:sz w:val="28"/>
                <w:szCs w:val="28"/>
              </w:rPr>
            </w:pPr>
            <w:r>
              <w:rPr>
                <w:rFonts w:hint="eastAsia" w:ascii="仿宋_GB2312" w:eastAsia="仿宋_GB2312"/>
                <w:b/>
                <w:bCs/>
                <w:color w:val="000000"/>
                <w:sz w:val="28"/>
                <w:szCs w:val="28"/>
              </w:rPr>
              <w:t>总计</w:t>
            </w:r>
          </w:p>
        </w:tc>
        <w:tc>
          <w:tcPr>
            <w:tcW w:w="883" w:type="dxa"/>
            <w:tcBorders>
              <w:top w:val="single" w:color="8064A2" w:sz="8" w:space="0"/>
              <w:left w:val="single" w:color="8064A2" w:sz="8" w:space="0"/>
              <w:bottom w:val="single" w:color="8064A2" w:sz="8" w:space="0"/>
              <w:right w:val="single" w:color="8064A2" w:sz="8" w:space="0"/>
            </w:tcBorders>
            <w:shd w:val="clear" w:color="auto" w:fill="EDEAF0"/>
            <w:noWrap w:val="0"/>
            <w:vAlign w:val="center"/>
          </w:tcPr>
          <w:p>
            <w:pPr>
              <w:jc w:val="center"/>
              <w:rPr>
                <w:rFonts w:ascii="仿宋_GB2312" w:eastAsia="仿宋_GB2312"/>
                <w:color w:val="000000"/>
                <w:sz w:val="28"/>
                <w:szCs w:val="28"/>
              </w:rPr>
            </w:pPr>
            <w:r>
              <w:rPr>
                <w:rFonts w:hint="eastAsia" w:ascii="仿宋_GB2312" w:eastAsia="仿宋_GB2312"/>
                <w:color w:val="000000"/>
                <w:sz w:val="28"/>
                <w:szCs w:val="28"/>
              </w:rPr>
              <w:t>2411</w:t>
            </w:r>
          </w:p>
        </w:tc>
        <w:tc>
          <w:tcPr>
            <w:tcW w:w="854" w:type="dxa"/>
            <w:tcBorders>
              <w:top w:val="single" w:color="8064A2" w:sz="8" w:space="0"/>
              <w:left w:val="single" w:color="8064A2" w:sz="8" w:space="0"/>
              <w:bottom w:val="single" w:color="8064A2" w:sz="8" w:space="0"/>
              <w:right w:val="single" w:color="8064A2" w:sz="8" w:space="0"/>
            </w:tcBorders>
            <w:shd w:val="clear" w:color="auto" w:fill="EDEAF0"/>
            <w:noWrap w:val="0"/>
            <w:vAlign w:val="center"/>
          </w:tcPr>
          <w:p>
            <w:pPr>
              <w:jc w:val="center"/>
              <w:rPr>
                <w:rFonts w:ascii="仿宋_GB2312" w:eastAsia="仿宋_GB2312"/>
                <w:color w:val="000000"/>
                <w:sz w:val="28"/>
                <w:szCs w:val="28"/>
              </w:rPr>
            </w:pPr>
            <w:r>
              <w:rPr>
                <w:rFonts w:hint="eastAsia" w:ascii="仿宋_GB2312" w:eastAsia="仿宋_GB2312"/>
                <w:color w:val="000000"/>
                <w:sz w:val="28"/>
                <w:szCs w:val="28"/>
              </w:rPr>
              <w:t>284</w:t>
            </w:r>
          </w:p>
        </w:tc>
        <w:tc>
          <w:tcPr>
            <w:tcW w:w="1099" w:type="dxa"/>
            <w:tcBorders>
              <w:top w:val="single" w:color="8064A2" w:sz="8" w:space="0"/>
              <w:left w:val="single" w:color="8064A2" w:sz="8" w:space="0"/>
              <w:bottom w:val="single" w:color="8064A2" w:sz="8" w:space="0"/>
              <w:right w:val="single" w:color="8064A2" w:sz="8" w:space="0"/>
            </w:tcBorders>
            <w:shd w:val="clear" w:color="auto" w:fill="EDEAF0"/>
            <w:noWrap w:val="0"/>
            <w:vAlign w:val="center"/>
          </w:tcPr>
          <w:p>
            <w:pPr>
              <w:jc w:val="center"/>
              <w:rPr>
                <w:rFonts w:ascii="仿宋_GB2312" w:eastAsia="仿宋_GB2312"/>
                <w:color w:val="000000"/>
                <w:sz w:val="28"/>
                <w:szCs w:val="28"/>
              </w:rPr>
            </w:pPr>
            <w:r>
              <w:rPr>
                <w:rFonts w:hint="eastAsia" w:ascii="仿宋_GB2312" w:eastAsia="仿宋_GB2312"/>
                <w:color w:val="000000"/>
                <w:sz w:val="28"/>
                <w:szCs w:val="28"/>
              </w:rPr>
              <w:t>1232</w:t>
            </w:r>
          </w:p>
        </w:tc>
        <w:tc>
          <w:tcPr>
            <w:tcW w:w="788" w:type="dxa"/>
            <w:tcBorders>
              <w:top w:val="single" w:color="8064A2" w:sz="8" w:space="0"/>
              <w:left w:val="single" w:color="8064A2" w:sz="8" w:space="0"/>
              <w:bottom w:val="single" w:color="8064A2" w:sz="8" w:space="0"/>
              <w:right w:val="single" w:color="8064A2" w:sz="8" w:space="0"/>
            </w:tcBorders>
            <w:shd w:val="clear" w:color="auto" w:fill="EDEAF0"/>
            <w:noWrap w:val="0"/>
            <w:vAlign w:val="center"/>
          </w:tcPr>
          <w:p>
            <w:pPr>
              <w:jc w:val="center"/>
              <w:rPr>
                <w:rFonts w:ascii="仿宋_GB2312" w:eastAsia="仿宋_GB2312"/>
                <w:color w:val="000000"/>
                <w:sz w:val="28"/>
                <w:szCs w:val="28"/>
              </w:rPr>
            </w:pPr>
            <w:r>
              <w:rPr>
                <w:rFonts w:hint="eastAsia" w:ascii="仿宋_GB2312" w:eastAsia="仿宋_GB2312"/>
                <w:color w:val="000000"/>
                <w:sz w:val="28"/>
                <w:szCs w:val="28"/>
              </w:rPr>
              <w:t>6</w:t>
            </w:r>
          </w:p>
        </w:tc>
        <w:tc>
          <w:tcPr>
            <w:tcW w:w="845" w:type="dxa"/>
            <w:tcBorders>
              <w:top w:val="single" w:color="8064A2" w:sz="8" w:space="0"/>
              <w:left w:val="single" w:color="8064A2" w:sz="8" w:space="0"/>
              <w:bottom w:val="single" w:color="8064A2" w:sz="8" w:space="0"/>
              <w:right w:val="single" w:color="8064A2" w:sz="8" w:space="0"/>
            </w:tcBorders>
            <w:shd w:val="clear" w:color="auto" w:fill="EDEAF0"/>
            <w:noWrap w:val="0"/>
            <w:vAlign w:val="center"/>
          </w:tcPr>
          <w:p>
            <w:pPr>
              <w:jc w:val="center"/>
              <w:rPr>
                <w:rFonts w:ascii="仿宋_GB2312" w:eastAsia="仿宋_GB2312"/>
                <w:color w:val="000000"/>
                <w:sz w:val="28"/>
                <w:szCs w:val="28"/>
              </w:rPr>
            </w:pPr>
            <w:r>
              <w:rPr>
                <w:rFonts w:hint="eastAsia" w:ascii="仿宋_GB2312" w:eastAsia="仿宋_GB2312"/>
                <w:color w:val="000000"/>
                <w:sz w:val="28"/>
                <w:szCs w:val="28"/>
              </w:rPr>
              <w:t>1</w:t>
            </w:r>
          </w:p>
        </w:tc>
        <w:tc>
          <w:tcPr>
            <w:tcW w:w="705" w:type="dxa"/>
            <w:tcBorders>
              <w:top w:val="single" w:color="8064A2" w:sz="8" w:space="0"/>
              <w:left w:val="single" w:color="8064A2" w:sz="8" w:space="0"/>
              <w:bottom w:val="single" w:color="8064A2" w:sz="8" w:space="0"/>
              <w:right w:val="single" w:color="8064A2" w:sz="8" w:space="0"/>
            </w:tcBorders>
            <w:shd w:val="clear" w:color="auto" w:fill="EDEAF0"/>
            <w:noWrap w:val="0"/>
            <w:vAlign w:val="center"/>
          </w:tcPr>
          <w:p>
            <w:pPr>
              <w:jc w:val="center"/>
              <w:rPr>
                <w:rFonts w:ascii="仿宋_GB2312" w:eastAsia="仿宋_GB2312"/>
                <w:color w:val="000000"/>
                <w:sz w:val="28"/>
                <w:szCs w:val="28"/>
              </w:rPr>
            </w:pPr>
            <w:r>
              <w:rPr>
                <w:rFonts w:ascii="仿宋_GB2312" w:eastAsia="仿宋_GB2312"/>
                <w:color w:val="000000"/>
                <w:sz w:val="28"/>
                <w:szCs w:val="28"/>
              </w:rPr>
              <w:t>1</w:t>
            </w:r>
            <w:r>
              <w:rPr>
                <w:rFonts w:hint="eastAsia" w:ascii="仿宋_GB2312" w:eastAsia="仿宋_GB2312"/>
                <w:color w:val="000000"/>
                <w:sz w:val="28"/>
                <w:szCs w:val="28"/>
              </w:rPr>
              <w:t>81</w:t>
            </w:r>
          </w:p>
        </w:tc>
        <w:tc>
          <w:tcPr>
            <w:tcW w:w="847" w:type="dxa"/>
            <w:tcBorders>
              <w:top w:val="single" w:color="8064A2" w:sz="8" w:space="0"/>
              <w:left w:val="single" w:color="8064A2" w:sz="8" w:space="0"/>
              <w:bottom w:val="single" w:color="8064A2" w:sz="8" w:space="0"/>
              <w:right w:val="single" w:color="8064A2" w:sz="8" w:space="0"/>
            </w:tcBorders>
            <w:shd w:val="clear" w:color="auto" w:fill="EDEAF0"/>
            <w:noWrap w:val="0"/>
            <w:vAlign w:val="center"/>
          </w:tcPr>
          <w:p>
            <w:pPr>
              <w:jc w:val="center"/>
              <w:rPr>
                <w:rFonts w:ascii="仿宋_GB2312" w:eastAsia="仿宋_GB2312"/>
                <w:color w:val="000000"/>
                <w:sz w:val="28"/>
                <w:szCs w:val="28"/>
              </w:rPr>
            </w:pPr>
            <w:r>
              <w:rPr>
                <w:rFonts w:hint="eastAsia" w:ascii="仿宋_GB2312" w:eastAsia="仿宋_GB2312"/>
                <w:color w:val="000000"/>
                <w:sz w:val="28"/>
                <w:szCs w:val="28"/>
              </w:rPr>
              <w:t>52</w:t>
            </w:r>
          </w:p>
        </w:tc>
        <w:tc>
          <w:tcPr>
            <w:tcW w:w="727" w:type="dxa"/>
            <w:tcBorders>
              <w:top w:val="single" w:color="8064A2" w:sz="8" w:space="0"/>
              <w:left w:val="single" w:color="8064A2" w:sz="8" w:space="0"/>
              <w:bottom w:val="single" w:color="8064A2" w:sz="8" w:space="0"/>
              <w:right w:val="single" w:color="8064A2" w:sz="8" w:space="0"/>
            </w:tcBorders>
            <w:shd w:val="clear" w:color="auto" w:fill="EDEAF0"/>
            <w:noWrap w:val="0"/>
            <w:vAlign w:val="top"/>
          </w:tcPr>
          <w:p>
            <w:pPr>
              <w:jc w:val="center"/>
              <w:rPr>
                <w:rFonts w:ascii="仿宋_GB2312" w:eastAsia="仿宋_GB2312"/>
                <w:color w:val="000000"/>
                <w:sz w:val="28"/>
                <w:szCs w:val="28"/>
              </w:rPr>
            </w:pPr>
            <w:r>
              <w:rPr>
                <w:rFonts w:hint="eastAsia" w:ascii="仿宋_GB2312" w:eastAsia="仿宋_GB2312"/>
                <w:color w:val="000000"/>
                <w:sz w:val="28"/>
                <w:szCs w:val="28"/>
              </w:rPr>
              <w:t>45</w:t>
            </w:r>
          </w:p>
        </w:tc>
        <w:tc>
          <w:tcPr>
            <w:tcW w:w="726" w:type="dxa"/>
            <w:tcBorders>
              <w:top w:val="single" w:color="8064A2" w:sz="8" w:space="0"/>
              <w:left w:val="single" w:color="8064A2" w:sz="8" w:space="0"/>
              <w:bottom w:val="single" w:color="8064A2" w:sz="8" w:space="0"/>
              <w:right w:val="single" w:color="8064A2" w:sz="8" w:space="0"/>
            </w:tcBorders>
            <w:shd w:val="clear" w:color="auto" w:fill="EDEAF0"/>
            <w:noWrap w:val="0"/>
            <w:vAlign w:val="center"/>
          </w:tcPr>
          <w:p>
            <w:pPr>
              <w:jc w:val="center"/>
              <w:rPr>
                <w:rFonts w:ascii="仿宋_GB2312" w:eastAsia="仿宋_GB2312"/>
                <w:color w:val="000000"/>
                <w:sz w:val="28"/>
                <w:szCs w:val="28"/>
              </w:rPr>
            </w:pPr>
            <w:r>
              <w:rPr>
                <w:rFonts w:hint="eastAsia" w:ascii="仿宋_GB2312" w:eastAsia="仿宋_GB2312"/>
                <w:color w:val="000000"/>
                <w:sz w:val="28"/>
                <w:szCs w:val="28"/>
              </w:rPr>
              <w:t>610</w:t>
            </w:r>
          </w:p>
        </w:tc>
        <w:tc>
          <w:tcPr>
            <w:tcW w:w="1250" w:type="dxa"/>
            <w:tcBorders>
              <w:top w:val="single" w:color="8064A2" w:sz="8" w:space="0"/>
              <w:left w:val="single" w:color="8064A2" w:sz="8" w:space="0"/>
              <w:bottom w:val="single" w:color="8064A2" w:sz="8" w:space="0"/>
              <w:right w:val="single" w:color="8064A2" w:sz="8" w:space="0"/>
            </w:tcBorders>
            <w:shd w:val="clear" w:color="auto" w:fill="EDEAF0"/>
            <w:noWrap w:val="0"/>
            <w:vAlign w:val="center"/>
          </w:tcPr>
          <w:p>
            <w:pPr>
              <w:jc w:val="center"/>
              <w:rPr>
                <w:rFonts w:ascii="仿宋_GB2312" w:eastAsia="仿宋_GB2312"/>
                <w:color w:val="000000"/>
                <w:sz w:val="28"/>
                <w:szCs w:val="28"/>
              </w:rPr>
            </w:pPr>
            <w:r>
              <w:rPr>
                <w:rFonts w:hint="eastAsia" w:ascii="仿宋_GB2312" w:eastAsia="仿宋_GB2312"/>
                <w:color w:val="000000"/>
                <w:sz w:val="28"/>
                <w:szCs w:val="28"/>
              </w:rPr>
              <w:t>74.70</w:t>
            </w:r>
            <w:r>
              <w:rPr>
                <w:rFonts w:ascii="仿宋_GB2312" w:eastAsia="仿宋_GB2312"/>
                <w:color w:val="000000"/>
                <w:sz w:val="28"/>
                <w:szCs w:val="28"/>
              </w:rPr>
              <w:t>%</w:t>
            </w:r>
          </w:p>
        </w:tc>
      </w:tr>
    </w:tbl>
    <w:p>
      <w:pPr>
        <w:spacing w:beforeLines="100"/>
        <w:ind w:firstLine="904" w:firstLineChars="300"/>
        <w:rPr>
          <w:rFonts w:ascii="仿宋_GB2312" w:eastAsia="仿宋_GB2312"/>
          <w:b/>
          <w:color w:val="000000"/>
          <w:sz w:val="30"/>
          <w:szCs w:val="30"/>
        </w:rPr>
      </w:pPr>
      <w:r>
        <w:rPr>
          <w:rFonts w:hint="eastAsia" w:ascii="仿宋_GB2312" w:eastAsia="仿宋_GB2312"/>
          <w:b/>
          <w:color w:val="000000"/>
          <w:sz w:val="30"/>
          <w:szCs w:val="30"/>
        </w:rPr>
        <w:t>图</w:t>
      </w:r>
      <w:r>
        <w:rPr>
          <w:rFonts w:ascii="仿宋_GB2312" w:eastAsia="仿宋_GB2312"/>
          <w:b/>
          <w:color w:val="000000"/>
          <w:sz w:val="30"/>
          <w:szCs w:val="30"/>
        </w:rPr>
        <w:t>2-1  201</w:t>
      </w:r>
      <w:r>
        <w:rPr>
          <w:rFonts w:hint="eastAsia" w:ascii="仿宋_GB2312" w:eastAsia="仿宋_GB2312"/>
          <w:b/>
          <w:color w:val="000000"/>
          <w:sz w:val="30"/>
          <w:szCs w:val="30"/>
        </w:rPr>
        <w:t>9届毕业生初次整体就业情况分布图</w:t>
      </w:r>
    </w:p>
    <w:p>
      <w:pPr>
        <w:ind w:left="-630" w:leftChars="-300" w:right="-630" w:rightChars="-300"/>
        <w:jc w:val="center"/>
        <w:rPr>
          <w:rFonts w:ascii="仿宋_GB2312" w:eastAsia="仿宋_GB2312"/>
          <w:b/>
          <w:color w:val="000000"/>
          <w:sz w:val="28"/>
          <w:szCs w:val="28"/>
        </w:rPr>
      </w:pPr>
      <w:r>
        <w:rPr>
          <w:rFonts w:ascii="仿宋_GB2312" w:eastAsia="仿宋_GB2312"/>
          <w:b/>
          <w:color w:val="000000"/>
          <w:sz w:val="28"/>
          <w:szCs w:val="28"/>
        </w:rPr>
        <w:drawing>
          <wp:inline distT="0" distB="0" distL="114300" distR="114300">
            <wp:extent cx="5943600" cy="2667000"/>
            <wp:effectExtent l="4445" t="4445" r="14605" b="14605"/>
            <wp:docPr id="6"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3"/>
        <w:spacing w:before="0" w:after="0"/>
        <w:rPr>
          <w:rFonts w:ascii="仿宋_GB2312" w:eastAsia="仿宋_GB2312"/>
          <w:b w:val="0"/>
          <w:color w:val="1F497D"/>
        </w:rPr>
      </w:pPr>
      <w:bookmarkStart w:id="34" w:name="_Toc10182"/>
      <w:bookmarkStart w:id="35" w:name="_Toc23369"/>
      <w:r>
        <w:rPr>
          <w:rFonts w:hint="eastAsia" w:ascii="仿宋_GB2312" w:eastAsia="仿宋_GB2312"/>
          <w:color w:val="1F497D"/>
        </w:rPr>
        <w:t>2.2 毕业去向</w:t>
      </w:r>
      <w:bookmarkEnd w:id="34"/>
      <w:bookmarkEnd w:id="35"/>
    </w:p>
    <w:p>
      <w:pPr>
        <w:pStyle w:val="4"/>
        <w:spacing w:before="0" w:after="0"/>
        <w:rPr>
          <w:rFonts w:ascii="仿宋_GB2312" w:eastAsia="仿宋_GB2312"/>
          <w:b w:val="0"/>
          <w:color w:val="1F497D"/>
          <w:sz w:val="28"/>
          <w:szCs w:val="28"/>
        </w:rPr>
      </w:pPr>
      <w:bookmarkStart w:id="36" w:name="_Toc22999"/>
      <w:bookmarkStart w:id="37" w:name="_Toc17404"/>
      <w:r>
        <w:rPr>
          <w:rFonts w:hint="eastAsia" w:ascii="仿宋_GB2312" w:eastAsia="仿宋_GB2312"/>
          <w:color w:val="1F497D"/>
          <w:sz w:val="28"/>
          <w:szCs w:val="28"/>
        </w:rPr>
        <w:t>2.2.１院系毕业生就业</w:t>
      </w:r>
      <w:bookmarkEnd w:id="36"/>
      <w:r>
        <w:rPr>
          <w:rFonts w:hint="eastAsia" w:ascii="仿宋_GB2312" w:eastAsia="仿宋_GB2312"/>
          <w:color w:val="1F497D"/>
          <w:sz w:val="28"/>
          <w:szCs w:val="28"/>
        </w:rPr>
        <w:t>状况</w:t>
      </w:r>
      <w:bookmarkEnd w:id="37"/>
    </w:p>
    <w:p>
      <w:pPr>
        <w:ind w:firstLine="548" w:firstLineChars="196"/>
        <w:rPr>
          <w:rFonts w:ascii="仿宋_GB2312" w:eastAsia="仿宋_GB2312"/>
          <w:sz w:val="28"/>
          <w:szCs w:val="28"/>
        </w:rPr>
      </w:pPr>
      <w:r>
        <w:rPr>
          <w:rFonts w:hint="eastAsia" w:ascii="仿宋_GB2312" w:eastAsia="仿宋_GB2312"/>
          <w:sz w:val="28"/>
          <w:szCs w:val="28"/>
        </w:rPr>
        <w:t>我校2019届毕业生分布在</w:t>
      </w:r>
      <w:r>
        <w:rPr>
          <w:rFonts w:ascii="仿宋_GB2312" w:eastAsia="仿宋_GB2312"/>
          <w:sz w:val="28"/>
          <w:szCs w:val="28"/>
        </w:rPr>
        <w:t xml:space="preserve"> </w:t>
      </w:r>
      <w:r>
        <w:rPr>
          <w:rFonts w:hint="eastAsia" w:ascii="仿宋_GB2312" w:eastAsia="仿宋_GB2312"/>
          <w:sz w:val="28"/>
          <w:szCs w:val="28"/>
        </w:rPr>
        <w:t>8个二级院。其中，公共管理学院、工程管理学院、会计学院和外国语学院等4个二级学院毕业生就业率达到</w:t>
      </w:r>
      <w:r>
        <w:rPr>
          <w:rFonts w:ascii="仿宋_GB2312" w:eastAsia="仿宋_GB2312"/>
          <w:sz w:val="28"/>
          <w:szCs w:val="28"/>
        </w:rPr>
        <w:t xml:space="preserve"> </w:t>
      </w:r>
      <w:r>
        <w:rPr>
          <w:rFonts w:hint="eastAsia" w:ascii="仿宋_GB2312" w:eastAsia="仿宋_GB2312"/>
          <w:sz w:val="28"/>
          <w:szCs w:val="28"/>
        </w:rPr>
        <w:t>80</w:t>
      </w:r>
      <w:r>
        <w:rPr>
          <w:rFonts w:ascii="仿宋_GB2312" w:eastAsia="仿宋_GB2312"/>
          <w:sz w:val="28"/>
          <w:szCs w:val="28"/>
        </w:rPr>
        <w:t>%</w:t>
      </w:r>
      <w:r>
        <w:rPr>
          <w:rFonts w:hint="eastAsia" w:ascii="仿宋_GB2312" w:eastAsia="仿宋_GB2312"/>
          <w:sz w:val="28"/>
          <w:szCs w:val="28"/>
        </w:rPr>
        <w:t>以上，具体情况详见表</w:t>
      </w:r>
      <w:r>
        <w:rPr>
          <w:rFonts w:ascii="仿宋_GB2312" w:eastAsia="仿宋_GB2312"/>
          <w:sz w:val="28"/>
          <w:szCs w:val="28"/>
        </w:rPr>
        <w:t>2-</w:t>
      </w:r>
      <w:r>
        <w:rPr>
          <w:rFonts w:hint="eastAsia" w:ascii="仿宋_GB2312" w:eastAsia="仿宋_GB2312"/>
          <w:sz w:val="28"/>
          <w:szCs w:val="28"/>
        </w:rPr>
        <w:t>2。</w:t>
      </w:r>
    </w:p>
    <w:p>
      <w:pPr>
        <w:jc w:val="center"/>
        <w:rPr>
          <w:rFonts w:ascii="仿宋_GB2312" w:eastAsia="仿宋_GB2312"/>
          <w:b/>
          <w:sz w:val="28"/>
          <w:szCs w:val="28"/>
        </w:rPr>
      </w:pPr>
      <w:r>
        <w:rPr>
          <w:rFonts w:hint="eastAsia" w:ascii="仿宋_GB2312" w:eastAsia="仿宋_GB2312"/>
          <w:b/>
          <w:sz w:val="28"/>
          <w:szCs w:val="28"/>
        </w:rPr>
        <w:t>表</w:t>
      </w:r>
      <w:r>
        <w:rPr>
          <w:rFonts w:ascii="仿宋_GB2312" w:eastAsia="仿宋_GB2312"/>
          <w:b/>
          <w:sz w:val="28"/>
          <w:szCs w:val="28"/>
        </w:rPr>
        <w:t>2-</w:t>
      </w:r>
      <w:r>
        <w:rPr>
          <w:rFonts w:hint="eastAsia" w:ascii="仿宋_GB2312" w:eastAsia="仿宋_GB2312"/>
          <w:b/>
          <w:sz w:val="28"/>
          <w:szCs w:val="28"/>
        </w:rPr>
        <w:t>2  2019年各二级学院毕业生就业情况统计表</w:t>
      </w:r>
    </w:p>
    <w:tbl>
      <w:tblPr>
        <w:tblStyle w:val="32"/>
        <w:tblW w:w="8522" w:type="dxa"/>
        <w:tblInd w:w="0" w:type="dxa"/>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blGrid>
        <w:gridCol w:w="3085"/>
        <w:gridCol w:w="1418"/>
        <w:gridCol w:w="1842"/>
        <w:gridCol w:w="2177"/>
      </w:tblGrid>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624" w:hRule="exact"/>
        </w:trPr>
        <w:tc>
          <w:tcPr>
            <w:tcW w:w="3085" w:type="dxa"/>
            <w:tcBorders>
              <w:top w:val="single" w:color="FFFFFF" w:sz="8" w:space="0"/>
              <w:left w:val="single" w:color="FFFFFF" w:sz="8" w:space="0"/>
              <w:bottom w:val="single" w:color="FFFFFF" w:sz="24" w:space="0"/>
              <w:right w:val="single" w:color="auto" w:sz="8" w:space="0"/>
            </w:tcBorders>
            <w:shd w:val="clear" w:color="auto" w:fill="B2A1C7"/>
            <w:noWrap w:val="0"/>
            <w:vAlign w:val="center"/>
          </w:tcPr>
          <w:p>
            <w:pPr>
              <w:widowControl/>
              <w:spacing w:beforeAutospacing="0" w:afterAutospacing="0"/>
              <w:contextualSpacing/>
              <w:jc w:val="center"/>
              <w:rPr>
                <w:rFonts w:ascii="仿宋_GB2312" w:hAnsi="宋体" w:eastAsia="仿宋_GB2312" w:cs="宋体"/>
                <w:b w:val="0"/>
                <w:bCs w:val="0"/>
                <w:i w:val="0"/>
                <w:iCs w:val="0"/>
                <w:color w:val="000000"/>
                <w:kern w:val="0"/>
                <w:sz w:val="28"/>
                <w:szCs w:val="28"/>
              </w:rPr>
            </w:pPr>
            <w:r>
              <w:rPr>
                <w:rFonts w:hint="eastAsia" w:ascii="仿宋_GB2312" w:hAnsi="宋体" w:eastAsia="仿宋_GB2312" w:cs="宋体"/>
                <w:b/>
                <w:bCs/>
                <w:i w:val="0"/>
                <w:iCs w:val="0"/>
                <w:color w:val="000000"/>
                <w:kern w:val="0"/>
                <w:sz w:val="28"/>
                <w:szCs w:val="28"/>
              </w:rPr>
              <w:t>学院名称</w:t>
            </w:r>
          </w:p>
        </w:tc>
        <w:tc>
          <w:tcPr>
            <w:tcW w:w="1418" w:type="dxa"/>
            <w:tcBorders>
              <w:top w:val="single" w:color="FFFFFF" w:sz="8" w:space="0"/>
              <w:bottom w:val="single" w:color="FFFFFF" w:sz="24" w:space="0"/>
              <w:right w:val="single" w:color="auto" w:sz="8" w:space="0"/>
            </w:tcBorders>
            <w:shd w:val="clear" w:color="auto" w:fill="B2A1C7"/>
            <w:noWrap w:val="0"/>
            <w:vAlign w:val="center"/>
          </w:tcPr>
          <w:p>
            <w:pPr>
              <w:widowControl/>
              <w:spacing w:beforeAutospacing="0" w:afterAutospacing="0"/>
              <w:contextualSpacing/>
              <w:jc w:val="center"/>
              <w:rPr>
                <w:rFonts w:ascii="仿宋_GB2312" w:hAnsi="宋体" w:eastAsia="仿宋_GB2312" w:cs="宋体"/>
                <w:b w:val="0"/>
                <w:bCs w:val="0"/>
                <w:i w:val="0"/>
                <w:iCs w:val="0"/>
                <w:color w:val="000000"/>
                <w:kern w:val="0"/>
                <w:sz w:val="28"/>
                <w:szCs w:val="28"/>
              </w:rPr>
            </w:pPr>
            <w:r>
              <w:rPr>
                <w:rFonts w:hint="eastAsia" w:ascii="仿宋_GB2312" w:hAnsi="宋体" w:eastAsia="仿宋_GB2312" w:cs="宋体"/>
                <w:b/>
                <w:bCs/>
                <w:i w:val="0"/>
                <w:iCs w:val="0"/>
                <w:color w:val="000000"/>
                <w:kern w:val="0"/>
                <w:sz w:val="28"/>
                <w:szCs w:val="28"/>
              </w:rPr>
              <w:t>毕业人数</w:t>
            </w:r>
          </w:p>
        </w:tc>
        <w:tc>
          <w:tcPr>
            <w:tcW w:w="1842" w:type="dxa"/>
            <w:tcBorders>
              <w:top w:val="single" w:color="FFFFFF" w:sz="8" w:space="0"/>
              <w:bottom w:val="single" w:color="FFFFFF" w:sz="24" w:space="0"/>
              <w:right w:val="single" w:color="auto" w:sz="8" w:space="0"/>
            </w:tcBorders>
            <w:shd w:val="clear" w:color="auto" w:fill="B2A1C7"/>
            <w:noWrap w:val="0"/>
            <w:vAlign w:val="center"/>
          </w:tcPr>
          <w:p>
            <w:pPr>
              <w:widowControl/>
              <w:spacing w:beforeAutospacing="0" w:afterAutospacing="0"/>
              <w:contextualSpacing/>
              <w:jc w:val="center"/>
              <w:rPr>
                <w:rFonts w:ascii="仿宋_GB2312" w:hAnsi="宋体" w:eastAsia="仿宋_GB2312" w:cs="宋体"/>
                <w:b w:val="0"/>
                <w:bCs w:val="0"/>
                <w:i w:val="0"/>
                <w:iCs w:val="0"/>
                <w:color w:val="000000"/>
                <w:kern w:val="0"/>
                <w:sz w:val="28"/>
                <w:szCs w:val="28"/>
              </w:rPr>
            </w:pPr>
            <w:r>
              <w:rPr>
                <w:rFonts w:hint="eastAsia" w:ascii="仿宋_GB2312" w:hAnsi="宋体" w:eastAsia="仿宋_GB2312" w:cs="宋体"/>
                <w:b/>
                <w:bCs/>
                <w:i w:val="0"/>
                <w:iCs w:val="0"/>
                <w:color w:val="000000"/>
                <w:kern w:val="0"/>
                <w:sz w:val="28"/>
                <w:szCs w:val="28"/>
              </w:rPr>
              <w:t>就业人数</w:t>
            </w:r>
          </w:p>
        </w:tc>
        <w:tc>
          <w:tcPr>
            <w:tcW w:w="2177" w:type="dxa"/>
            <w:tcBorders>
              <w:top w:val="single" w:color="FFFFFF" w:sz="8" w:space="0"/>
              <w:bottom w:val="single" w:color="FFFFFF" w:sz="24" w:space="0"/>
              <w:right w:val="single" w:color="FFFFFF" w:sz="8" w:space="0"/>
            </w:tcBorders>
            <w:shd w:val="clear" w:color="auto" w:fill="B2A1C7"/>
            <w:noWrap w:val="0"/>
            <w:vAlign w:val="center"/>
          </w:tcPr>
          <w:p>
            <w:pPr>
              <w:widowControl/>
              <w:spacing w:beforeAutospacing="0" w:afterAutospacing="0"/>
              <w:contextualSpacing/>
              <w:jc w:val="center"/>
              <w:rPr>
                <w:rFonts w:ascii="仿宋_GB2312" w:hAnsi="宋体" w:eastAsia="仿宋_GB2312" w:cs="宋体"/>
                <w:b w:val="0"/>
                <w:bCs w:val="0"/>
                <w:i w:val="0"/>
                <w:iCs w:val="0"/>
                <w:color w:val="000000"/>
                <w:kern w:val="0"/>
                <w:sz w:val="28"/>
                <w:szCs w:val="28"/>
              </w:rPr>
            </w:pPr>
            <w:r>
              <w:rPr>
                <w:rFonts w:hint="eastAsia" w:ascii="仿宋_GB2312" w:hAnsi="宋体" w:eastAsia="仿宋_GB2312" w:cs="宋体"/>
                <w:b/>
                <w:bCs/>
                <w:i w:val="0"/>
                <w:iCs w:val="0"/>
                <w:color w:val="000000"/>
                <w:kern w:val="0"/>
                <w:sz w:val="28"/>
                <w:szCs w:val="28"/>
              </w:rPr>
              <w:t>就业率</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624" w:hRule="exact"/>
        </w:trPr>
        <w:tc>
          <w:tcPr>
            <w:tcW w:w="3085" w:type="dxa"/>
            <w:tcBorders>
              <w:left w:val="single" w:color="FFFFFF" w:sz="8" w:space="0"/>
              <w:bottom w:val="nil"/>
              <w:right w:val="single" w:color="FFFFFF" w:sz="24" w:space="0"/>
            </w:tcBorders>
            <w:shd w:val="clear" w:color="auto" w:fill="B2A1C7"/>
            <w:noWrap w:val="0"/>
            <w:vAlign w:val="center"/>
          </w:tcPr>
          <w:p>
            <w:pPr>
              <w:widowControl/>
              <w:spacing w:beforeAutospacing="0" w:afterAutospacing="0"/>
              <w:ind w:firstLine="703" w:firstLineChars="250"/>
              <w:contextualSpacing/>
              <w:rPr>
                <w:rFonts w:ascii="仿宋_GB2312" w:hAnsi="宋体" w:eastAsia="仿宋_GB2312" w:cs="宋体"/>
                <w:b w:val="0"/>
                <w:bCs w:val="0"/>
                <w:i w:val="0"/>
                <w:iCs w:val="0"/>
                <w:color w:val="000000"/>
                <w:kern w:val="0"/>
                <w:sz w:val="28"/>
                <w:szCs w:val="28"/>
              </w:rPr>
            </w:pPr>
            <w:r>
              <w:rPr>
                <w:rFonts w:hint="eastAsia" w:ascii="仿宋_GB2312" w:hAnsi="宋体" w:eastAsia="仿宋_GB2312" w:cs="宋体"/>
                <w:b/>
                <w:bCs/>
                <w:i w:val="0"/>
                <w:iCs w:val="0"/>
                <w:color w:val="000000"/>
                <w:kern w:val="0"/>
                <w:sz w:val="28"/>
                <w:szCs w:val="28"/>
              </w:rPr>
              <w:t>会计学院</w:t>
            </w:r>
          </w:p>
        </w:tc>
        <w:tc>
          <w:tcPr>
            <w:tcW w:w="1418" w:type="dxa"/>
            <w:shd w:val="clear" w:color="auto" w:fill="DFD8E8"/>
            <w:noWrap w:val="0"/>
            <w:vAlign w:val="center"/>
          </w:tcPr>
          <w:p>
            <w:pPr>
              <w:widowControl/>
              <w:spacing w:beforeAutospacing="0" w:afterAutospacing="0"/>
              <w:contextualSpacing/>
              <w:jc w:val="center"/>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770</w:t>
            </w:r>
          </w:p>
        </w:tc>
        <w:tc>
          <w:tcPr>
            <w:tcW w:w="1842" w:type="dxa"/>
            <w:shd w:val="clear" w:color="auto" w:fill="DFD8E8"/>
            <w:noWrap w:val="0"/>
            <w:vAlign w:val="center"/>
          </w:tcPr>
          <w:p>
            <w:pPr>
              <w:widowControl/>
              <w:spacing w:beforeAutospacing="0" w:afterAutospacing="0"/>
              <w:contextualSpacing/>
              <w:jc w:val="center"/>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641</w:t>
            </w:r>
          </w:p>
        </w:tc>
        <w:tc>
          <w:tcPr>
            <w:tcW w:w="2177" w:type="dxa"/>
            <w:shd w:val="clear" w:color="auto" w:fill="DFD8E8"/>
            <w:noWrap w:val="0"/>
            <w:vAlign w:val="center"/>
          </w:tcPr>
          <w:p>
            <w:pPr>
              <w:widowControl/>
              <w:spacing w:beforeAutospacing="0" w:afterAutospacing="0"/>
              <w:contextualSpacing/>
              <w:jc w:val="center"/>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83.00%</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624" w:hRule="exact"/>
        </w:trPr>
        <w:tc>
          <w:tcPr>
            <w:tcW w:w="3085" w:type="dxa"/>
            <w:tcBorders>
              <w:top w:val="single" w:color="FFFFFF" w:sz="8" w:space="0"/>
              <w:left w:val="single" w:color="FFFFFF" w:sz="8" w:space="0"/>
              <w:bottom w:val="nil"/>
              <w:right w:val="single" w:color="FFFFFF" w:sz="24" w:space="0"/>
            </w:tcBorders>
            <w:shd w:val="clear" w:color="auto" w:fill="B2A1C7"/>
            <w:noWrap w:val="0"/>
            <w:vAlign w:val="center"/>
          </w:tcPr>
          <w:p>
            <w:pPr>
              <w:widowControl/>
              <w:spacing w:beforeAutospacing="0" w:afterAutospacing="0"/>
              <w:contextualSpacing/>
              <w:jc w:val="center"/>
              <w:rPr>
                <w:rFonts w:ascii="仿宋_GB2312" w:hAnsi="宋体" w:eastAsia="仿宋_GB2312" w:cs="宋体"/>
                <w:b w:val="0"/>
                <w:bCs w:val="0"/>
                <w:i w:val="0"/>
                <w:iCs w:val="0"/>
                <w:color w:val="000000"/>
                <w:kern w:val="0"/>
                <w:sz w:val="28"/>
                <w:szCs w:val="28"/>
              </w:rPr>
            </w:pPr>
            <w:r>
              <w:rPr>
                <w:rFonts w:hint="eastAsia" w:ascii="仿宋_GB2312" w:hAnsi="宋体" w:eastAsia="仿宋_GB2312" w:cs="宋体"/>
                <w:b/>
                <w:bCs/>
                <w:i w:val="0"/>
                <w:iCs w:val="0"/>
                <w:color w:val="000000"/>
                <w:kern w:val="0"/>
                <w:sz w:val="28"/>
                <w:szCs w:val="28"/>
              </w:rPr>
              <w:t>财政金融学院</w:t>
            </w:r>
          </w:p>
        </w:tc>
        <w:tc>
          <w:tcPr>
            <w:tcW w:w="1418"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0" w:afterAutospacing="0"/>
              <w:contextualSpacing/>
              <w:jc w:val="center"/>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419</w:t>
            </w:r>
          </w:p>
        </w:tc>
        <w:tc>
          <w:tcPr>
            <w:tcW w:w="1842"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0" w:afterAutospacing="0"/>
              <w:contextualSpacing/>
              <w:jc w:val="center"/>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244</w:t>
            </w:r>
          </w:p>
        </w:tc>
        <w:tc>
          <w:tcPr>
            <w:tcW w:w="2177"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0" w:afterAutospacing="0"/>
              <w:contextualSpacing/>
              <w:jc w:val="center"/>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58.23%</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624" w:hRule="exact"/>
        </w:trPr>
        <w:tc>
          <w:tcPr>
            <w:tcW w:w="3085" w:type="dxa"/>
            <w:tcBorders>
              <w:top w:val="single" w:color="FFFFFF" w:sz="8" w:space="0"/>
              <w:left w:val="single" w:color="FFFFFF" w:sz="8" w:space="0"/>
              <w:bottom w:val="nil"/>
              <w:right w:val="single" w:color="FFFFFF" w:sz="24" w:space="0"/>
            </w:tcBorders>
            <w:shd w:val="clear" w:color="auto" w:fill="B2A1C7"/>
            <w:noWrap w:val="0"/>
            <w:vAlign w:val="center"/>
          </w:tcPr>
          <w:p>
            <w:pPr>
              <w:widowControl/>
              <w:spacing w:beforeAutospacing="0" w:afterAutospacing="0"/>
              <w:contextualSpacing/>
              <w:jc w:val="center"/>
              <w:rPr>
                <w:rFonts w:ascii="仿宋_GB2312" w:hAnsi="宋体" w:eastAsia="仿宋_GB2312" w:cs="宋体"/>
                <w:b w:val="0"/>
                <w:bCs w:val="0"/>
                <w:i w:val="0"/>
                <w:iCs w:val="0"/>
                <w:color w:val="000000"/>
                <w:kern w:val="0"/>
                <w:sz w:val="28"/>
                <w:szCs w:val="28"/>
              </w:rPr>
            </w:pPr>
            <w:r>
              <w:rPr>
                <w:rFonts w:hint="eastAsia" w:ascii="仿宋_GB2312" w:hAnsi="宋体" w:eastAsia="仿宋_GB2312" w:cs="宋体"/>
                <w:b/>
                <w:bCs/>
                <w:i w:val="0"/>
                <w:iCs w:val="0"/>
                <w:color w:val="000000"/>
                <w:kern w:val="0"/>
                <w:sz w:val="28"/>
                <w:szCs w:val="28"/>
              </w:rPr>
              <w:t>经济学院</w:t>
            </w:r>
          </w:p>
        </w:tc>
        <w:tc>
          <w:tcPr>
            <w:tcW w:w="1418"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0" w:afterAutospacing="0"/>
              <w:contextualSpacing/>
              <w:jc w:val="center"/>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171</w:t>
            </w:r>
          </w:p>
        </w:tc>
        <w:tc>
          <w:tcPr>
            <w:tcW w:w="1842"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0" w:afterAutospacing="0"/>
              <w:contextualSpacing/>
              <w:jc w:val="center"/>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117</w:t>
            </w:r>
          </w:p>
        </w:tc>
        <w:tc>
          <w:tcPr>
            <w:tcW w:w="2177"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0" w:afterAutospacing="0"/>
              <w:contextualSpacing/>
              <w:jc w:val="center"/>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68.42%</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624" w:hRule="exact"/>
        </w:trPr>
        <w:tc>
          <w:tcPr>
            <w:tcW w:w="3085" w:type="dxa"/>
            <w:tcBorders>
              <w:left w:val="single" w:color="FFFFFF" w:sz="8" w:space="0"/>
              <w:bottom w:val="nil"/>
              <w:right w:val="single" w:color="FFFFFF" w:sz="24" w:space="0"/>
            </w:tcBorders>
            <w:shd w:val="clear" w:color="auto" w:fill="B2A1C7"/>
            <w:noWrap w:val="0"/>
            <w:vAlign w:val="center"/>
          </w:tcPr>
          <w:p>
            <w:pPr>
              <w:widowControl/>
              <w:spacing w:beforeAutospacing="0" w:afterAutospacing="0"/>
              <w:contextualSpacing/>
              <w:jc w:val="center"/>
              <w:rPr>
                <w:rFonts w:ascii="仿宋_GB2312" w:hAnsi="宋体" w:eastAsia="仿宋_GB2312" w:cs="宋体"/>
                <w:b w:val="0"/>
                <w:bCs w:val="0"/>
                <w:i w:val="0"/>
                <w:iCs w:val="0"/>
                <w:color w:val="000000"/>
                <w:kern w:val="0"/>
                <w:sz w:val="28"/>
                <w:szCs w:val="28"/>
              </w:rPr>
            </w:pPr>
            <w:r>
              <w:rPr>
                <w:rFonts w:hint="eastAsia" w:ascii="仿宋_GB2312" w:hAnsi="宋体" w:eastAsia="仿宋_GB2312" w:cs="宋体"/>
                <w:b/>
                <w:bCs/>
                <w:i w:val="0"/>
                <w:iCs w:val="0"/>
                <w:color w:val="000000"/>
                <w:kern w:val="0"/>
                <w:sz w:val="28"/>
                <w:szCs w:val="28"/>
              </w:rPr>
              <w:t>工商管理学院</w:t>
            </w:r>
          </w:p>
        </w:tc>
        <w:tc>
          <w:tcPr>
            <w:tcW w:w="1418" w:type="dxa"/>
            <w:shd w:val="clear" w:color="auto" w:fill="DFD8E8"/>
            <w:noWrap w:val="0"/>
            <w:vAlign w:val="center"/>
          </w:tcPr>
          <w:p>
            <w:pPr>
              <w:widowControl/>
              <w:spacing w:beforeAutospacing="0" w:afterAutospacing="0"/>
              <w:contextualSpacing/>
              <w:jc w:val="center"/>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294</w:t>
            </w:r>
          </w:p>
        </w:tc>
        <w:tc>
          <w:tcPr>
            <w:tcW w:w="1842" w:type="dxa"/>
            <w:shd w:val="clear" w:color="auto" w:fill="DFD8E8"/>
            <w:noWrap w:val="0"/>
            <w:vAlign w:val="center"/>
          </w:tcPr>
          <w:p>
            <w:pPr>
              <w:widowControl/>
              <w:spacing w:beforeAutospacing="0" w:afterAutospacing="0"/>
              <w:contextualSpacing/>
              <w:jc w:val="center"/>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202</w:t>
            </w:r>
          </w:p>
        </w:tc>
        <w:tc>
          <w:tcPr>
            <w:tcW w:w="2177" w:type="dxa"/>
            <w:shd w:val="clear" w:color="auto" w:fill="DFD8E8"/>
            <w:noWrap w:val="0"/>
            <w:vAlign w:val="center"/>
          </w:tcPr>
          <w:p>
            <w:pPr>
              <w:widowControl/>
              <w:spacing w:beforeAutospacing="0" w:afterAutospacing="0"/>
              <w:contextualSpacing/>
              <w:jc w:val="center"/>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68.71%</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624" w:hRule="exact"/>
        </w:trPr>
        <w:tc>
          <w:tcPr>
            <w:tcW w:w="3085" w:type="dxa"/>
            <w:tcBorders>
              <w:top w:val="single" w:color="FFFFFF" w:sz="8" w:space="0"/>
              <w:left w:val="single" w:color="FFFFFF" w:sz="8" w:space="0"/>
              <w:bottom w:val="nil"/>
              <w:right w:val="single" w:color="FFFFFF" w:sz="24" w:space="0"/>
            </w:tcBorders>
            <w:shd w:val="clear" w:color="auto" w:fill="B2A1C7"/>
            <w:noWrap w:val="0"/>
            <w:vAlign w:val="center"/>
          </w:tcPr>
          <w:p>
            <w:pPr>
              <w:widowControl/>
              <w:spacing w:beforeAutospacing="0" w:afterAutospacing="0"/>
              <w:contextualSpacing/>
              <w:jc w:val="center"/>
              <w:rPr>
                <w:rFonts w:ascii="仿宋_GB2312" w:hAnsi="宋体" w:eastAsia="仿宋_GB2312" w:cs="宋体"/>
                <w:b w:val="0"/>
                <w:bCs w:val="0"/>
                <w:i w:val="0"/>
                <w:iCs w:val="0"/>
                <w:color w:val="000000"/>
                <w:kern w:val="0"/>
                <w:sz w:val="28"/>
                <w:szCs w:val="28"/>
              </w:rPr>
            </w:pPr>
            <w:r>
              <w:rPr>
                <w:rFonts w:hint="eastAsia" w:ascii="仿宋_GB2312" w:hAnsi="宋体" w:eastAsia="仿宋_GB2312" w:cs="宋体"/>
                <w:b/>
                <w:bCs/>
                <w:i w:val="0"/>
                <w:iCs w:val="0"/>
                <w:color w:val="000000"/>
                <w:kern w:val="0"/>
                <w:sz w:val="28"/>
                <w:szCs w:val="28"/>
              </w:rPr>
              <w:t>公共管理学院</w:t>
            </w:r>
          </w:p>
        </w:tc>
        <w:tc>
          <w:tcPr>
            <w:tcW w:w="1418"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0" w:afterAutospacing="0"/>
              <w:contextualSpacing/>
              <w:jc w:val="center"/>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79</w:t>
            </w:r>
          </w:p>
        </w:tc>
        <w:tc>
          <w:tcPr>
            <w:tcW w:w="1842"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0" w:afterAutospacing="0"/>
              <w:contextualSpacing/>
              <w:jc w:val="center"/>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70</w:t>
            </w:r>
          </w:p>
        </w:tc>
        <w:tc>
          <w:tcPr>
            <w:tcW w:w="2177"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0" w:afterAutospacing="0"/>
              <w:contextualSpacing/>
              <w:jc w:val="center"/>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88.61%</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624" w:hRule="exact"/>
        </w:trPr>
        <w:tc>
          <w:tcPr>
            <w:tcW w:w="3085" w:type="dxa"/>
            <w:tcBorders>
              <w:top w:val="single" w:color="FFFFFF" w:sz="8" w:space="0"/>
              <w:left w:val="single" w:color="FFFFFF" w:sz="8" w:space="0"/>
              <w:bottom w:val="nil"/>
              <w:right w:val="single" w:color="FFFFFF" w:sz="24" w:space="0"/>
            </w:tcBorders>
            <w:shd w:val="clear" w:color="auto" w:fill="B2A1C7"/>
            <w:noWrap w:val="0"/>
            <w:vAlign w:val="center"/>
          </w:tcPr>
          <w:p>
            <w:pPr>
              <w:widowControl/>
              <w:spacing w:beforeAutospacing="0" w:afterAutospacing="0"/>
              <w:contextualSpacing/>
              <w:jc w:val="center"/>
              <w:rPr>
                <w:rFonts w:ascii="仿宋_GB2312" w:hAnsi="宋体" w:eastAsia="仿宋_GB2312" w:cs="宋体"/>
                <w:b w:val="0"/>
                <w:bCs w:val="0"/>
                <w:i w:val="0"/>
                <w:iCs w:val="0"/>
                <w:color w:val="000000"/>
                <w:kern w:val="0"/>
                <w:sz w:val="28"/>
                <w:szCs w:val="28"/>
              </w:rPr>
            </w:pPr>
            <w:r>
              <w:rPr>
                <w:rFonts w:hint="eastAsia" w:ascii="仿宋_GB2312" w:hAnsi="宋体" w:eastAsia="仿宋_GB2312" w:cs="宋体"/>
                <w:b/>
                <w:bCs/>
                <w:i w:val="0"/>
                <w:iCs w:val="0"/>
                <w:color w:val="000000"/>
                <w:kern w:val="0"/>
                <w:sz w:val="28"/>
                <w:szCs w:val="28"/>
              </w:rPr>
              <w:t>信息技术与管理学院</w:t>
            </w:r>
          </w:p>
        </w:tc>
        <w:tc>
          <w:tcPr>
            <w:tcW w:w="1418"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0" w:afterAutospacing="0"/>
              <w:contextualSpacing/>
              <w:jc w:val="center"/>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238</w:t>
            </w:r>
          </w:p>
        </w:tc>
        <w:tc>
          <w:tcPr>
            <w:tcW w:w="1842"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0" w:afterAutospacing="0"/>
              <w:contextualSpacing/>
              <w:jc w:val="center"/>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163</w:t>
            </w:r>
          </w:p>
        </w:tc>
        <w:tc>
          <w:tcPr>
            <w:tcW w:w="2177"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0" w:afterAutospacing="0"/>
              <w:contextualSpacing/>
              <w:jc w:val="center"/>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68.49%</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624" w:hRule="exact"/>
        </w:trPr>
        <w:tc>
          <w:tcPr>
            <w:tcW w:w="3085" w:type="dxa"/>
            <w:tcBorders>
              <w:left w:val="single" w:color="FFFFFF" w:sz="8" w:space="0"/>
              <w:bottom w:val="nil"/>
              <w:right w:val="single" w:color="FFFFFF" w:sz="24" w:space="0"/>
            </w:tcBorders>
            <w:shd w:val="clear" w:color="auto" w:fill="B2A1C7"/>
            <w:noWrap w:val="0"/>
            <w:vAlign w:val="center"/>
          </w:tcPr>
          <w:p>
            <w:pPr>
              <w:widowControl/>
              <w:spacing w:beforeAutospacing="0" w:afterAutospacing="0"/>
              <w:contextualSpacing/>
              <w:jc w:val="center"/>
              <w:rPr>
                <w:rFonts w:ascii="仿宋_GB2312" w:hAnsi="宋体" w:eastAsia="仿宋_GB2312" w:cs="宋体"/>
                <w:b w:val="0"/>
                <w:bCs w:val="0"/>
                <w:i w:val="0"/>
                <w:iCs w:val="0"/>
                <w:color w:val="000000"/>
                <w:kern w:val="0"/>
                <w:sz w:val="28"/>
                <w:szCs w:val="28"/>
              </w:rPr>
            </w:pPr>
            <w:r>
              <w:rPr>
                <w:rFonts w:hint="eastAsia" w:ascii="仿宋_GB2312" w:hAnsi="宋体" w:eastAsia="仿宋_GB2312" w:cs="宋体"/>
                <w:b/>
                <w:bCs/>
                <w:i w:val="0"/>
                <w:iCs w:val="0"/>
                <w:color w:val="000000"/>
                <w:kern w:val="0"/>
                <w:sz w:val="28"/>
                <w:szCs w:val="28"/>
              </w:rPr>
              <w:t>外国语学院</w:t>
            </w:r>
          </w:p>
        </w:tc>
        <w:tc>
          <w:tcPr>
            <w:tcW w:w="1418" w:type="dxa"/>
            <w:shd w:val="clear" w:color="auto" w:fill="DFD8E8"/>
            <w:noWrap w:val="0"/>
            <w:vAlign w:val="center"/>
          </w:tcPr>
          <w:p>
            <w:pPr>
              <w:widowControl/>
              <w:spacing w:beforeAutospacing="0" w:afterAutospacing="0"/>
              <w:contextualSpacing/>
              <w:jc w:val="center"/>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226</w:t>
            </w:r>
          </w:p>
        </w:tc>
        <w:tc>
          <w:tcPr>
            <w:tcW w:w="1842" w:type="dxa"/>
            <w:shd w:val="clear" w:color="auto" w:fill="DFD8E8"/>
            <w:noWrap w:val="0"/>
            <w:vAlign w:val="center"/>
          </w:tcPr>
          <w:p>
            <w:pPr>
              <w:widowControl/>
              <w:spacing w:beforeAutospacing="0" w:afterAutospacing="0"/>
              <w:contextualSpacing/>
              <w:jc w:val="center"/>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183</w:t>
            </w:r>
          </w:p>
        </w:tc>
        <w:tc>
          <w:tcPr>
            <w:tcW w:w="2177" w:type="dxa"/>
            <w:shd w:val="clear" w:color="auto" w:fill="DFD8E8"/>
            <w:noWrap w:val="0"/>
            <w:vAlign w:val="center"/>
          </w:tcPr>
          <w:p>
            <w:pPr>
              <w:widowControl/>
              <w:spacing w:beforeAutospacing="0" w:afterAutospacing="0"/>
              <w:contextualSpacing/>
              <w:jc w:val="center"/>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80.97%</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624" w:hRule="exact"/>
        </w:trPr>
        <w:tc>
          <w:tcPr>
            <w:tcW w:w="3085" w:type="dxa"/>
            <w:tcBorders>
              <w:left w:val="single" w:color="FFFFFF" w:sz="8" w:space="0"/>
              <w:bottom w:val="nil"/>
              <w:right w:val="single" w:color="FFFFFF" w:sz="24" w:space="0"/>
            </w:tcBorders>
            <w:shd w:val="clear" w:color="auto" w:fill="B2A1C7"/>
            <w:noWrap w:val="0"/>
            <w:vAlign w:val="center"/>
          </w:tcPr>
          <w:p>
            <w:pPr>
              <w:widowControl/>
              <w:spacing w:beforeAutospacing="0" w:afterAutospacing="0"/>
              <w:contextualSpacing/>
              <w:jc w:val="center"/>
              <w:rPr>
                <w:rFonts w:ascii="仿宋_GB2312" w:hAnsi="宋体" w:eastAsia="仿宋_GB2312" w:cs="宋体"/>
                <w:b w:val="0"/>
                <w:bCs w:val="0"/>
                <w:i w:val="0"/>
                <w:iCs w:val="0"/>
                <w:color w:val="000000"/>
                <w:kern w:val="0"/>
                <w:sz w:val="28"/>
                <w:szCs w:val="28"/>
              </w:rPr>
            </w:pPr>
            <w:r>
              <w:rPr>
                <w:rFonts w:hint="eastAsia" w:ascii="仿宋_GB2312" w:hAnsi="宋体" w:eastAsia="仿宋_GB2312" w:cs="宋体"/>
                <w:b/>
                <w:bCs/>
                <w:i w:val="0"/>
                <w:iCs w:val="0"/>
                <w:color w:val="000000"/>
                <w:kern w:val="0"/>
                <w:sz w:val="28"/>
                <w:szCs w:val="28"/>
              </w:rPr>
              <w:t>工程管理学院</w:t>
            </w:r>
          </w:p>
        </w:tc>
        <w:tc>
          <w:tcPr>
            <w:tcW w:w="1418" w:type="dxa"/>
            <w:shd w:val="clear" w:color="auto" w:fill="DFD8E8"/>
            <w:noWrap w:val="0"/>
            <w:vAlign w:val="center"/>
          </w:tcPr>
          <w:p>
            <w:pPr>
              <w:widowControl/>
              <w:spacing w:beforeAutospacing="0" w:afterAutospacing="0"/>
              <w:contextualSpacing/>
              <w:jc w:val="center"/>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214</w:t>
            </w:r>
          </w:p>
        </w:tc>
        <w:tc>
          <w:tcPr>
            <w:tcW w:w="1842" w:type="dxa"/>
            <w:shd w:val="clear" w:color="auto" w:fill="DFD8E8"/>
            <w:noWrap w:val="0"/>
            <w:vAlign w:val="center"/>
          </w:tcPr>
          <w:p>
            <w:pPr>
              <w:widowControl/>
              <w:spacing w:beforeAutospacing="0" w:afterAutospacing="0"/>
              <w:contextualSpacing/>
              <w:jc w:val="center"/>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181</w:t>
            </w:r>
          </w:p>
        </w:tc>
        <w:tc>
          <w:tcPr>
            <w:tcW w:w="2177" w:type="dxa"/>
            <w:shd w:val="clear" w:color="auto" w:fill="DFD8E8"/>
            <w:noWrap w:val="0"/>
            <w:vAlign w:val="center"/>
          </w:tcPr>
          <w:p>
            <w:pPr>
              <w:widowControl/>
              <w:spacing w:beforeAutospacing="0" w:afterAutospacing="0"/>
              <w:contextualSpacing/>
              <w:jc w:val="center"/>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84.58%</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624" w:hRule="exact"/>
        </w:trPr>
        <w:tc>
          <w:tcPr>
            <w:tcW w:w="3085" w:type="dxa"/>
            <w:tcBorders>
              <w:top w:val="single" w:color="FFFFFF" w:sz="8" w:space="0"/>
              <w:left w:val="single" w:color="FFFFFF" w:sz="8" w:space="0"/>
              <w:bottom w:val="single" w:color="FFFFFF" w:sz="8" w:space="0"/>
              <w:right w:val="single" w:color="FFFFFF" w:sz="24" w:space="0"/>
            </w:tcBorders>
            <w:shd w:val="clear" w:color="auto" w:fill="B2A1C7"/>
            <w:noWrap w:val="0"/>
            <w:vAlign w:val="center"/>
          </w:tcPr>
          <w:p>
            <w:pPr>
              <w:widowControl/>
              <w:spacing w:beforeAutospacing="0" w:afterAutospacing="0"/>
              <w:contextualSpacing/>
              <w:jc w:val="center"/>
              <w:rPr>
                <w:rFonts w:ascii="仿宋_GB2312" w:hAnsi="宋体" w:eastAsia="仿宋_GB2312" w:cs="宋体"/>
                <w:b w:val="0"/>
                <w:bCs w:val="0"/>
                <w:i w:val="0"/>
                <w:iCs w:val="0"/>
                <w:color w:val="000000"/>
                <w:kern w:val="0"/>
                <w:sz w:val="28"/>
                <w:szCs w:val="28"/>
              </w:rPr>
            </w:pPr>
            <w:r>
              <w:rPr>
                <w:rFonts w:hint="eastAsia" w:ascii="仿宋_GB2312" w:hAnsi="宋体" w:eastAsia="仿宋_GB2312" w:cs="宋体"/>
                <w:b/>
                <w:bCs/>
                <w:i w:val="0"/>
                <w:iCs w:val="0"/>
                <w:color w:val="000000"/>
                <w:kern w:val="0"/>
                <w:sz w:val="28"/>
                <w:szCs w:val="28"/>
              </w:rPr>
              <w:t>总计</w:t>
            </w:r>
          </w:p>
        </w:tc>
        <w:tc>
          <w:tcPr>
            <w:tcW w:w="1418"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0" w:afterAutospacing="0"/>
              <w:contextualSpacing/>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2411</w:t>
            </w:r>
          </w:p>
        </w:tc>
        <w:tc>
          <w:tcPr>
            <w:tcW w:w="1842"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0" w:afterAutospacing="0"/>
              <w:contextualSpacing/>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1801</w:t>
            </w:r>
          </w:p>
        </w:tc>
        <w:tc>
          <w:tcPr>
            <w:tcW w:w="2177"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0" w:afterAutospacing="0"/>
              <w:contextualSpacing/>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74.70%</w:t>
            </w:r>
          </w:p>
        </w:tc>
      </w:tr>
    </w:tbl>
    <w:p>
      <w:pPr>
        <w:pStyle w:val="4"/>
        <w:spacing w:before="0" w:after="0"/>
        <w:rPr>
          <w:rFonts w:ascii="仿宋_GB2312" w:eastAsia="仿宋_GB2312"/>
          <w:b w:val="0"/>
          <w:color w:val="1F497D"/>
          <w:sz w:val="30"/>
          <w:szCs w:val="30"/>
        </w:rPr>
      </w:pPr>
      <w:bookmarkStart w:id="38" w:name="_Toc9146"/>
      <w:bookmarkStart w:id="39" w:name="_Toc28608"/>
      <w:r>
        <w:rPr>
          <w:rFonts w:hint="eastAsia" w:ascii="仿宋_GB2312" w:eastAsia="仿宋_GB2312"/>
          <w:color w:val="1F497D"/>
          <w:sz w:val="30"/>
          <w:szCs w:val="30"/>
        </w:rPr>
        <w:t>2.2.2 各学科专业就业情况</w:t>
      </w:r>
      <w:bookmarkEnd w:id="38"/>
      <w:bookmarkEnd w:id="39"/>
    </w:p>
    <w:p>
      <w:pPr>
        <w:ind w:firstLine="548" w:firstLineChars="196"/>
        <w:rPr>
          <w:rFonts w:ascii="仿宋_GB2312" w:eastAsia="仿宋_GB2312"/>
          <w:sz w:val="28"/>
          <w:szCs w:val="28"/>
        </w:rPr>
      </w:pPr>
      <w:r>
        <w:rPr>
          <w:rFonts w:hint="eastAsia" w:ascii="仿宋_GB2312" w:eastAsia="仿宋_GB2312"/>
          <w:sz w:val="28"/>
          <w:szCs w:val="28"/>
        </w:rPr>
        <w:t>从学科专业来看，我校2019届毕业生涵盖24个本科专业，其中，行政管理、土地资源管理、工程管理、</w:t>
      </w:r>
      <w:r>
        <w:rPr>
          <w:rFonts w:hint="eastAsia" w:ascii="仿宋_GB2312" w:hAnsi="宋体" w:eastAsia="仿宋_GB2312" w:cs="Arial"/>
          <w:sz w:val="28"/>
          <w:szCs w:val="28"/>
        </w:rPr>
        <w:t>日语等专业初次</w:t>
      </w:r>
      <w:r>
        <w:rPr>
          <w:rFonts w:hint="eastAsia" w:ascii="仿宋_GB2312" w:eastAsia="仿宋_GB2312"/>
          <w:sz w:val="28"/>
          <w:szCs w:val="28"/>
        </w:rPr>
        <w:t>就业率达85</w:t>
      </w:r>
      <w:r>
        <w:rPr>
          <w:rFonts w:ascii="仿宋_GB2312" w:eastAsia="仿宋_GB2312"/>
          <w:sz w:val="28"/>
          <w:szCs w:val="28"/>
        </w:rPr>
        <w:t>%</w:t>
      </w:r>
      <w:r>
        <w:rPr>
          <w:rFonts w:hint="eastAsia" w:ascii="仿宋_GB2312" w:eastAsia="仿宋_GB2312"/>
          <w:sz w:val="28"/>
          <w:szCs w:val="28"/>
        </w:rPr>
        <w:t>以上，具体情况详见表</w:t>
      </w:r>
      <w:r>
        <w:rPr>
          <w:rFonts w:ascii="仿宋_GB2312" w:eastAsia="仿宋_GB2312"/>
          <w:sz w:val="28"/>
          <w:szCs w:val="28"/>
        </w:rPr>
        <w:t>2-</w:t>
      </w:r>
      <w:r>
        <w:rPr>
          <w:rFonts w:hint="eastAsia" w:ascii="仿宋_GB2312" w:eastAsia="仿宋_GB2312"/>
          <w:sz w:val="28"/>
          <w:szCs w:val="28"/>
        </w:rPr>
        <w:t>3。</w:t>
      </w:r>
    </w:p>
    <w:p>
      <w:pPr>
        <w:jc w:val="center"/>
        <w:rPr>
          <w:rFonts w:ascii="仿宋_GB2312" w:eastAsia="仿宋_GB2312"/>
          <w:b/>
          <w:sz w:val="30"/>
          <w:szCs w:val="30"/>
        </w:rPr>
      </w:pPr>
      <w:r>
        <w:rPr>
          <w:rFonts w:hint="eastAsia" w:ascii="仿宋_GB2312" w:eastAsia="仿宋_GB2312"/>
          <w:b/>
          <w:sz w:val="30"/>
          <w:szCs w:val="30"/>
        </w:rPr>
        <w:t>表</w:t>
      </w:r>
      <w:r>
        <w:rPr>
          <w:rFonts w:ascii="仿宋_GB2312" w:eastAsia="仿宋_GB2312"/>
          <w:b/>
          <w:sz w:val="30"/>
          <w:szCs w:val="30"/>
        </w:rPr>
        <w:t>2-</w:t>
      </w:r>
      <w:r>
        <w:rPr>
          <w:rFonts w:hint="eastAsia" w:ascii="仿宋_GB2312" w:eastAsia="仿宋_GB2312"/>
          <w:b/>
          <w:sz w:val="30"/>
          <w:szCs w:val="30"/>
        </w:rPr>
        <w:t xml:space="preserve">3  </w:t>
      </w:r>
      <w:r>
        <w:rPr>
          <w:rFonts w:ascii="仿宋_GB2312" w:eastAsia="仿宋_GB2312"/>
          <w:b/>
          <w:sz w:val="30"/>
          <w:szCs w:val="30"/>
        </w:rPr>
        <w:t>201</w:t>
      </w:r>
      <w:r>
        <w:rPr>
          <w:rFonts w:hint="eastAsia" w:ascii="仿宋_GB2312" w:eastAsia="仿宋_GB2312"/>
          <w:b/>
          <w:sz w:val="30"/>
          <w:szCs w:val="30"/>
        </w:rPr>
        <w:t>9届毕业生对应学科专业就业人数统计表</w:t>
      </w:r>
    </w:p>
    <w:tbl>
      <w:tblPr>
        <w:tblStyle w:val="32"/>
        <w:tblW w:w="8613" w:type="dxa"/>
        <w:tblInd w:w="0" w:type="dxa"/>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blGrid>
        <w:gridCol w:w="2802"/>
        <w:gridCol w:w="1701"/>
        <w:gridCol w:w="1701"/>
        <w:gridCol w:w="2409"/>
      </w:tblGrid>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711" w:hRule="exact"/>
        </w:trPr>
        <w:tc>
          <w:tcPr>
            <w:tcW w:w="2802" w:type="dxa"/>
            <w:tcBorders>
              <w:top w:val="single" w:color="FFFFFF" w:sz="8" w:space="0"/>
              <w:left w:val="single" w:color="FFFFFF" w:sz="8" w:space="0"/>
              <w:bottom w:val="single" w:color="FFFFFF" w:sz="24" w:space="0"/>
              <w:right w:val="single" w:color="auto" w:sz="8" w:space="0"/>
            </w:tcBorders>
            <w:shd w:val="clear" w:color="auto" w:fill="8064A2"/>
            <w:noWrap w:val="0"/>
            <w:vAlign w:val="center"/>
          </w:tcPr>
          <w:p>
            <w:pPr>
              <w:widowControl/>
              <w:spacing w:beforeAutospacing="1" w:afterAutospacing="1"/>
              <w:jc w:val="center"/>
              <w:rPr>
                <w:rFonts w:ascii="宋体" w:hAnsi="宋体" w:eastAsia="宋体" w:cs="宋体"/>
                <w:b w:val="0"/>
                <w:bCs/>
                <w:i w:val="0"/>
                <w:iCs w:val="0"/>
                <w:color w:val="000000"/>
                <w:kern w:val="0"/>
                <w:sz w:val="22"/>
              </w:rPr>
            </w:pPr>
            <w:r>
              <w:rPr>
                <w:rFonts w:hint="eastAsia" w:ascii="宋体" w:hAnsi="宋体" w:eastAsia="宋体" w:cs="宋体"/>
                <w:b/>
                <w:bCs w:val="0"/>
                <w:i w:val="0"/>
                <w:iCs w:val="0"/>
                <w:color w:val="000000"/>
                <w:kern w:val="0"/>
                <w:sz w:val="22"/>
              </w:rPr>
              <w:t>专业名称</w:t>
            </w:r>
          </w:p>
        </w:tc>
        <w:tc>
          <w:tcPr>
            <w:tcW w:w="1701" w:type="dxa"/>
            <w:tcBorders>
              <w:top w:val="single" w:color="FFFFFF" w:sz="8" w:space="0"/>
              <w:bottom w:val="single" w:color="FFFFFF" w:sz="24" w:space="0"/>
              <w:right w:val="single" w:color="auto" w:sz="8" w:space="0"/>
            </w:tcBorders>
            <w:shd w:val="clear" w:color="auto" w:fill="8064A2"/>
            <w:noWrap w:val="0"/>
            <w:vAlign w:val="center"/>
          </w:tcPr>
          <w:p>
            <w:pPr>
              <w:widowControl/>
              <w:spacing w:beforeAutospacing="1" w:afterAutospacing="1"/>
              <w:jc w:val="center"/>
              <w:rPr>
                <w:rFonts w:ascii="宋体" w:hAnsi="宋体" w:eastAsia="宋体" w:cs="宋体"/>
                <w:b w:val="0"/>
                <w:bCs/>
                <w:i w:val="0"/>
                <w:iCs w:val="0"/>
                <w:color w:val="000000"/>
                <w:kern w:val="0"/>
                <w:sz w:val="22"/>
              </w:rPr>
            </w:pPr>
            <w:r>
              <w:rPr>
                <w:rFonts w:hint="eastAsia" w:ascii="宋体" w:hAnsi="宋体" w:eastAsia="宋体" w:cs="宋体"/>
                <w:b/>
                <w:bCs w:val="0"/>
                <w:i w:val="0"/>
                <w:iCs w:val="0"/>
                <w:color w:val="000000"/>
                <w:kern w:val="0"/>
                <w:sz w:val="22"/>
              </w:rPr>
              <w:t>毕业生人数</w:t>
            </w:r>
          </w:p>
        </w:tc>
        <w:tc>
          <w:tcPr>
            <w:tcW w:w="1701" w:type="dxa"/>
            <w:tcBorders>
              <w:top w:val="single" w:color="FFFFFF" w:sz="8" w:space="0"/>
              <w:bottom w:val="single" w:color="FFFFFF" w:sz="24" w:space="0"/>
              <w:right w:val="single" w:color="auto" w:sz="8" w:space="0"/>
            </w:tcBorders>
            <w:shd w:val="clear" w:color="auto" w:fill="8064A2"/>
            <w:noWrap w:val="0"/>
            <w:vAlign w:val="center"/>
          </w:tcPr>
          <w:p>
            <w:pPr>
              <w:widowControl/>
              <w:spacing w:beforeAutospacing="1" w:afterAutospacing="1"/>
              <w:jc w:val="center"/>
              <w:rPr>
                <w:rFonts w:ascii="宋体" w:hAnsi="宋体" w:eastAsia="宋体" w:cs="宋体"/>
                <w:b w:val="0"/>
                <w:bCs/>
                <w:i w:val="0"/>
                <w:iCs w:val="0"/>
                <w:color w:val="000000"/>
                <w:kern w:val="0"/>
                <w:sz w:val="22"/>
              </w:rPr>
            </w:pPr>
            <w:r>
              <w:rPr>
                <w:rFonts w:hint="eastAsia" w:ascii="宋体" w:hAnsi="宋体" w:eastAsia="宋体" w:cs="宋体"/>
                <w:b/>
                <w:bCs w:val="0"/>
                <w:i w:val="0"/>
                <w:iCs w:val="0"/>
                <w:color w:val="000000"/>
                <w:kern w:val="0"/>
                <w:sz w:val="22"/>
              </w:rPr>
              <w:t>就业人数</w:t>
            </w:r>
          </w:p>
        </w:tc>
        <w:tc>
          <w:tcPr>
            <w:tcW w:w="2409" w:type="dxa"/>
            <w:tcBorders>
              <w:top w:val="single" w:color="FFFFFF" w:sz="8" w:space="0"/>
              <w:bottom w:val="single" w:color="FFFFFF" w:sz="24" w:space="0"/>
              <w:right w:val="single" w:color="FFFFFF" w:sz="8" w:space="0"/>
            </w:tcBorders>
            <w:shd w:val="clear" w:color="auto" w:fill="8064A2"/>
            <w:noWrap w:val="0"/>
            <w:vAlign w:val="center"/>
          </w:tcPr>
          <w:p>
            <w:pPr>
              <w:widowControl/>
              <w:spacing w:beforeAutospacing="1" w:afterAutospacing="1"/>
              <w:jc w:val="center"/>
              <w:rPr>
                <w:rFonts w:ascii="宋体" w:hAnsi="宋体" w:eastAsia="宋体" w:cs="宋体"/>
                <w:b w:val="0"/>
                <w:bCs/>
                <w:i w:val="0"/>
                <w:iCs w:val="0"/>
                <w:color w:val="000000"/>
                <w:kern w:val="0"/>
                <w:sz w:val="22"/>
              </w:rPr>
            </w:pPr>
            <w:r>
              <w:rPr>
                <w:rFonts w:hint="eastAsia" w:ascii="宋体" w:hAnsi="宋体" w:eastAsia="宋体" w:cs="宋体"/>
                <w:b/>
                <w:bCs w:val="0"/>
                <w:i w:val="0"/>
                <w:iCs w:val="0"/>
                <w:color w:val="000000"/>
                <w:kern w:val="0"/>
                <w:sz w:val="22"/>
              </w:rPr>
              <w:t>就业率（%）</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510" w:hRule="exact"/>
        </w:trPr>
        <w:tc>
          <w:tcPr>
            <w:tcW w:w="2802" w:type="dxa"/>
            <w:tcBorders>
              <w:top w:val="single" w:color="FFFFFF" w:sz="8" w:space="0"/>
              <w:left w:val="single" w:color="FFFFFF" w:sz="8" w:space="0"/>
              <w:bottom w:val="nil"/>
              <w:right w:val="single" w:color="FFFFFF" w:sz="24" w:space="0"/>
            </w:tcBorders>
            <w:shd w:val="clear" w:color="auto" w:fill="CCC0D9"/>
            <w:noWrap w:val="0"/>
            <w:vAlign w:val="center"/>
          </w:tcPr>
          <w:p>
            <w:pPr>
              <w:widowControl/>
              <w:spacing w:beforeAutospacing="1" w:afterAutospacing="1"/>
              <w:ind w:left="-21" w:leftChars="-10" w:right="-21" w:rightChars="-10"/>
              <w:jc w:val="center"/>
              <w:rPr>
                <w:rFonts w:ascii="宋体" w:hAnsi="宋体" w:eastAsia="宋体" w:cs="宋体"/>
                <w:b w:val="0"/>
                <w:bCs w:val="0"/>
                <w:i w:val="0"/>
                <w:iCs w:val="0"/>
                <w:color w:val="000000"/>
                <w:kern w:val="0"/>
                <w:sz w:val="22"/>
              </w:rPr>
            </w:pPr>
            <w:r>
              <w:rPr>
                <w:rFonts w:hint="eastAsia" w:ascii="宋体" w:hAnsi="宋体" w:eastAsia="宋体" w:cs="宋体"/>
                <w:b/>
                <w:bCs/>
                <w:i w:val="0"/>
                <w:iCs w:val="0"/>
                <w:color w:val="000000"/>
                <w:kern w:val="0"/>
                <w:sz w:val="22"/>
              </w:rPr>
              <w:t>会计学</w:t>
            </w:r>
          </w:p>
        </w:tc>
        <w:tc>
          <w:tcPr>
            <w:tcW w:w="1701"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585</w:t>
            </w:r>
          </w:p>
        </w:tc>
        <w:tc>
          <w:tcPr>
            <w:tcW w:w="1701"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490</w:t>
            </w:r>
          </w:p>
        </w:tc>
        <w:tc>
          <w:tcPr>
            <w:tcW w:w="2409"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83.76</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510" w:hRule="exact"/>
        </w:trPr>
        <w:tc>
          <w:tcPr>
            <w:tcW w:w="2802" w:type="dxa"/>
            <w:tcBorders>
              <w:left w:val="single" w:color="FFFFFF" w:sz="8" w:space="0"/>
              <w:bottom w:val="nil"/>
              <w:right w:val="single" w:color="FFFFFF" w:sz="24" w:space="0"/>
            </w:tcBorders>
            <w:shd w:val="clear" w:color="auto" w:fill="CCC0D9"/>
            <w:noWrap w:val="0"/>
            <w:vAlign w:val="center"/>
          </w:tcPr>
          <w:p>
            <w:pPr>
              <w:widowControl/>
              <w:spacing w:beforeAutospacing="1" w:afterAutospacing="1"/>
              <w:ind w:left="-21" w:leftChars="-10" w:right="-21" w:rightChars="-10"/>
              <w:jc w:val="center"/>
              <w:rPr>
                <w:rFonts w:ascii="宋体" w:hAnsi="宋体" w:eastAsia="宋体" w:cs="宋体"/>
                <w:b w:val="0"/>
                <w:bCs w:val="0"/>
                <w:i w:val="0"/>
                <w:iCs w:val="0"/>
                <w:color w:val="000000"/>
                <w:kern w:val="0"/>
                <w:sz w:val="22"/>
              </w:rPr>
            </w:pPr>
            <w:r>
              <w:rPr>
                <w:rFonts w:hint="eastAsia" w:ascii="宋体" w:hAnsi="宋体" w:eastAsia="宋体" w:cs="宋体"/>
                <w:b/>
                <w:bCs/>
                <w:i w:val="0"/>
                <w:iCs w:val="0"/>
                <w:color w:val="000000"/>
                <w:kern w:val="0"/>
                <w:sz w:val="22"/>
              </w:rPr>
              <w:t>财务管理</w:t>
            </w:r>
          </w:p>
        </w:tc>
        <w:tc>
          <w:tcPr>
            <w:tcW w:w="1701" w:type="dxa"/>
            <w:shd w:val="clear" w:color="auto" w:fill="DFD8E8"/>
            <w:noWrap w:val="0"/>
            <w:vAlign w:val="center"/>
          </w:tcPr>
          <w:p>
            <w:pPr>
              <w:widowControl/>
              <w:spacing w:beforeAutospacing="1" w:afterAutospacing="1"/>
              <w:ind w:firstLine="660" w:firstLineChars="300"/>
              <w:rPr>
                <w:rFonts w:ascii="宋体" w:hAnsi="宋体" w:eastAsia="宋体" w:cs="宋体"/>
                <w:color w:val="000000"/>
                <w:kern w:val="0"/>
                <w:sz w:val="22"/>
              </w:rPr>
            </w:pPr>
            <w:r>
              <w:rPr>
                <w:rFonts w:hint="eastAsia" w:ascii="宋体" w:hAnsi="宋体" w:eastAsia="宋体" w:cs="宋体"/>
                <w:color w:val="000000"/>
                <w:kern w:val="0"/>
                <w:sz w:val="22"/>
              </w:rPr>
              <w:t>92</w:t>
            </w:r>
          </w:p>
        </w:tc>
        <w:tc>
          <w:tcPr>
            <w:tcW w:w="1701"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78</w:t>
            </w:r>
          </w:p>
        </w:tc>
        <w:tc>
          <w:tcPr>
            <w:tcW w:w="2409"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84.78</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510" w:hRule="exact"/>
        </w:trPr>
        <w:tc>
          <w:tcPr>
            <w:tcW w:w="2802" w:type="dxa"/>
            <w:tcBorders>
              <w:top w:val="single" w:color="FFFFFF" w:sz="8" w:space="0"/>
              <w:left w:val="single" w:color="FFFFFF" w:sz="8" w:space="0"/>
              <w:bottom w:val="nil"/>
              <w:right w:val="single" w:color="FFFFFF" w:sz="24" w:space="0"/>
            </w:tcBorders>
            <w:shd w:val="clear" w:color="auto" w:fill="CCC0D9"/>
            <w:noWrap w:val="0"/>
            <w:vAlign w:val="center"/>
          </w:tcPr>
          <w:p>
            <w:pPr>
              <w:widowControl/>
              <w:spacing w:beforeAutospacing="1" w:afterAutospacing="1"/>
              <w:ind w:left="-21" w:leftChars="-10" w:right="-21" w:rightChars="-10"/>
              <w:jc w:val="center"/>
              <w:rPr>
                <w:rFonts w:ascii="宋体" w:hAnsi="宋体" w:eastAsia="宋体" w:cs="宋体"/>
                <w:b w:val="0"/>
                <w:bCs w:val="0"/>
                <w:i w:val="0"/>
                <w:iCs w:val="0"/>
                <w:color w:val="000000"/>
                <w:kern w:val="0"/>
                <w:sz w:val="22"/>
              </w:rPr>
            </w:pPr>
            <w:r>
              <w:rPr>
                <w:rFonts w:hint="eastAsia" w:ascii="宋体" w:hAnsi="宋体" w:eastAsia="宋体" w:cs="宋体"/>
                <w:b/>
                <w:bCs/>
                <w:i w:val="0"/>
                <w:iCs w:val="0"/>
                <w:color w:val="000000"/>
                <w:kern w:val="0"/>
                <w:sz w:val="22"/>
              </w:rPr>
              <w:t>审计学</w:t>
            </w:r>
          </w:p>
        </w:tc>
        <w:tc>
          <w:tcPr>
            <w:tcW w:w="1701"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ind w:firstLine="660" w:firstLineChars="300"/>
              <w:rPr>
                <w:rFonts w:ascii="宋体" w:hAnsi="宋体" w:eastAsia="宋体" w:cs="宋体"/>
                <w:color w:val="000000"/>
                <w:kern w:val="0"/>
                <w:sz w:val="22"/>
              </w:rPr>
            </w:pPr>
            <w:r>
              <w:rPr>
                <w:rFonts w:hint="eastAsia" w:ascii="宋体" w:hAnsi="宋体" w:eastAsia="宋体" w:cs="宋体"/>
                <w:color w:val="000000"/>
                <w:kern w:val="0"/>
                <w:sz w:val="22"/>
              </w:rPr>
              <w:t>93</w:t>
            </w:r>
          </w:p>
        </w:tc>
        <w:tc>
          <w:tcPr>
            <w:tcW w:w="1701"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73</w:t>
            </w:r>
          </w:p>
        </w:tc>
        <w:tc>
          <w:tcPr>
            <w:tcW w:w="2409"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78.49</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510" w:hRule="exact"/>
        </w:trPr>
        <w:tc>
          <w:tcPr>
            <w:tcW w:w="2802" w:type="dxa"/>
            <w:tcBorders>
              <w:left w:val="single" w:color="FFFFFF" w:sz="8" w:space="0"/>
              <w:bottom w:val="nil"/>
              <w:right w:val="single" w:color="FFFFFF" w:sz="24" w:space="0"/>
            </w:tcBorders>
            <w:shd w:val="clear" w:color="auto" w:fill="CCC0D9"/>
            <w:noWrap w:val="0"/>
            <w:vAlign w:val="center"/>
          </w:tcPr>
          <w:p>
            <w:pPr>
              <w:widowControl/>
              <w:spacing w:beforeAutospacing="1" w:afterAutospacing="1"/>
              <w:ind w:left="-21" w:leftChars="-10" w:right="-21" w:rightChars="-10"/>
              <w:jc w:val="center"/>
              <w:rPr>
                <w:rFonts w:ascii="宋体" w:hAnsi="宋体" w:eastAsia="宋体" w:cs="宋体"/>
                <w:b w:val="0"/>
                <w:bCs w:val="0"/>
                <w:i w:val="0"/>
                <w:iCs w:val="0"/>
                <w:color w:val="000000"/>
                <w:kern w:val="0"/>
                <w:sz w:val="22"/>
              </w:rPr>
            </w:pPr>
            <w:r>
              <w:rPr>
                <w:rFonts w:hint="eastAsia" w:ascii="宋体" w:hAnsi="宋体" w:eastAsia="宋体" w:cs="宋体"/>
                <w:b/>
                <w:bCs/>
                <w:i w:val="0"/>
                <w:iCs w:val="0"/>
                <w:color w:val="000000"/>
                <w:kern w:val="0"/>
                <w:sz w:val="22"/>
              </w:rPr>
              <w:t>金融学</w:t>
            </w:r>
          </w:p>
        </w:tc>
        <w:tc>
          <w:tcPr>
            <w:tcW w:w="1701"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290</w:t>
            </w:r>
          </w:p>
        </w:tc>
        <w:tc>
          <w:tcPr>
            <w:tcW w:w="1701"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155</w:t>
            </w:r>
          </w:p>
        </w:tc>
        <w:tc>
          <w:tcPr>
            <w:tcW w:w="2409"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53.45</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510" w:hRule="exact"/>
        </w:trPr>
        <w:tc>
          <w:tcPr>
            <w:tcW w:w="2802" w:type="dxa"/>
            <w:tcBorders>
              <w:top w:val="single" w:color="FFFFFF" w:sz="8" w:space="0"/>
              <w:left w:val="single" w:color="FFFFFF" w:sz="8" w:space="0"/>
              <w:bottom w:val="nil"/>
              <w:right w:val="single" w:color="FFFFFF" w:sz="24" w:space="0"/>
            </w:tcBorders>
            <w:shd w:val="clear" w:color="auto" w:fill="CCC0D9"/>
            <w:noWrap w:val="0"/>
            <w:vAlign w:val="center"/>
          </w:tcPr>
          <w:p>
            <w:pPr>
              <w:widowControl/>
              <w:spacing w:beforeAutospacing="1" w:afterAutospacing="1"/>
              <w:ind w:left="-21" w:leftChars="-10" w:right="-21" w:rightChars="-10"/>
              <w:jc w:val="center"/>
              <w:rPr>
                <w:rFonts w:ascii="宋体" w:hAnsi="宋体" w:eastAsia="宋体" w:cs="宋体"/>
                <w:b w:val="0"/>
                <w:bCs w:val="0"/>
                <w:i w:val="0"/>
                <w:iCs w:val="0"/>
                <w:color w:val="000000"/>
                <w:kern w:val="0"/>
                <w:sz w:val="22"/>
              </w:rPr>
            </w:pPr>
            <w:r>
              <w:rPr>
                <w:rFonts w:hint="eastAsia" w:ascii="宋体" w:hAnsi="宋体" w:eastAsia="宋体" w:cs="宋体"/>
                <w:b/>
                <w:bCs/>
                <w:i w:val="0"/>
                <w:iCs w:val="0"/>
                <w:color w:val="000000"/>
                <w:kern w:val="0"/>
                <w:sz w:val="22"/>
              </w:rPr>
              <w:t>财政学</w:t>
            </w:r>
          </w:p>
        </w:tc>
        <w:tc>
          <w:tcPr>
            <w:tcW w:w="1701"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86</w:t>
            </w:r>
          </w:p>
        </w:tc>
        <w:tc>
          <w:tcPr>
            <w:tcW w:w="1701"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61</w:t>
            </w:r>
          </w:p>
        </w:tc>
        <w:tc>
          <w:tcPr>
            <w:tcW w:w="2409"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70.93</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510" w:hRule="exact"/>
        </w:trPr>
        <w:tc>
          <w:tcPr>
            <w:tcW w:w="2802" w:type="dxa"/>
            <w:tcBorders>
              <w:left w:val="single" w:color="FFFFFF" w:sz="8" w:space="0"/>
              <w:bottom w:val="nil"/>
              <w:right w:val="single" w:color="FFFFFF" w:sz="24" w:space="0"/>
            </w:tcBorders>
            <w:shd w:val="clear" w:color="auto" w:fill="CCC0D9"/>
            <w:noWrap w:val="0"/>
            <w:vAlign w:val="center"/>
          </w:tcPr>
          <w:p>
            <w:pPr>
              <w:widowControl/>
              <w:spacing w:beforeAutospacing="1" w:afterAutospacing="1"/>
              <w:ind w:left="-21" w:leftChars="-10" w:right="-21" w:rightChars="-10"/>
              <w:jc w:val="center"/>
              <w:rPr>
                <w:rFonts w:ascii="宋体" w:hAnsi="宋体" w:eastAsia="宋体" w:cs="宋体"/>
                <w:b w:val="0"/>
                <w:bCs w:val="0"/>
                <w:i w:val="0"/>
                <w:iCs w:val="0"/>
                <w:color w:val="000000"/>
                <w:kern w:val="0"/>
                <w:sz w:val="22"/>
              </w:rPr>
            </w:pPr>
            <w:r>
              <w:rPr>
                <w:rFonts w:hint="eastAsia" w:ascii="宋体" w:hAnsi="宋体" w:eastAsia="宋体" w:cs="宋体"/>
                <w:b/>
                <w:bCs/>
                <w:i w:val="0"/>
                <w:iCs w:val="0"/>
                <w:color w:val="000000"/>
                <w:kern w:val="0"/>
                <w:sz w:val="22"/>
              </w:rPr>
              <w:t>税收学</w:t>
            </w:r>
          </w:p>
        </w:tc>
        <w:tc>
          <w:tcPr>
            <w:tcW w:w="1701"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43</w:t>
            </w:r>
          </w:p>
        </w:tc>
        <w:tc>
          <w:tcPr>
            <w:tcW w:w="1701"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28</w:t>
            </w:r>
          </w:p>
        </w:tc>
        <w:tc>
          <w:tcPr>
            <w:tcW w:w="2409"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65.12</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510" w:hRule="exact"/>
        </w:trPr>
        <w:tc>
          <w:tcPr>
            <w:tcW w:w="2802" w:type="dxa"/>
            <w:tcBorders>
              <w:top w:val="single" w:color="FFFFFF" w:sz="8" w:space="0"/>
              <w:left w:val="single" w:color="FFFFFF" w:sz="8" w:space="0"/>
              <w:bottom w:val="nil"/>
              <w:right w:val="single" w:color="FFFFFF" w:sz="24" w:space="0"/>
            </w:tcBorders>
            <w:shd w:val="clear" w:color="auto" w:fill="CCC0D9"/>
            <w:noWrap w:val="0"/>
            <w:vAlign w:val="center"/>
          </w:tcPr>
          <w:p>
            <w:pPr>
              <w:widowControl/>
              <w:spacing w:beforeAutospacing="1" w:afterAutospacing="1"/>
              <w:ind w:left="-21" w:leftChars="-10" w:right="-21" w:rightChars="-10"/>
              <w:jc w:val="center"/>
              <w:rPr>
                <w:rFonts w:ascii="宋体" w:hAnsi="宋体" w:eastAsia="宋体" w:cs="宋体"/>
                <w:b w:val="0"/>
                <w:bCs w:val="0"/>
                <w:i w:val="0"/>
                <w:iCs w:val="0"/>
                <w:color w:val="000000"/>
                <w:kern w:val="0"/>
                <w:sz w:val="22"/>
              </w:rPr>
            </w:pPr>
            <w:r>
              <w:rPr>
                <w:rFonts w:hint="eastAsia" w:ascii="宋体" w:hAnsi="宋体" w:eastAsia="宋体" w:cs="宋体"/>
                <w:b/>
                <w:bCs/>
                <w:i w:val="0"/>
                <w:iCs w:val="0"/>
                <w:color w:val="000000"/>
                <w:kern w:val="0"/>
                <w:sz w:val="22"/>
              </w:rPr>
              <w:t>工程管理</w:t>
            </w:r>
          </w:p>
        </w:tc>
        <w:tc>
          <w:tcPr>
            <w:tcW w:w="1701"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40</w:t>
            </w:r>
          </w:p>
        </w:tc>
        <w:tc>
          <w:tcPr>
            <w:tcW w:w="1701"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35</w:t>
            </w:r>
          </w:p>
        </w:tc>
        <w:tc>
          <w:tcPr>
            <w:tcW w:w="2409"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87.50</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510" w:hRule="exact"/>
        </w:trPr>
        <w:tc>
          <w:tcPr>
            <w:tcW w:w="2802" w:type="dxa"/>
            <w:tcBorders>
              <w:left w:val="single" w:color="FFFFFF" w:sz="8" w:space="0"/>
              <w:bottom w:val="nil"/>
              <w:right w:val="single" w:color="FFFFFF" w:sz="24" w:space="0"/>
            </w:tcBorders>
            <w:shd w:val="clear" w:color="auto" w:fill="CCC0D9"/>
            <w:noWrap w:val="0"/>
            <w:vAlign w:val="center"/>
          </w:tcPr>
          <w:p>
            <w:pPr>
              <w:widowControl/>
              <w:spacing w:beforeAutospacing="1" w:afterAutospacing="1"/>
              <w:ind w:left="-21" w:leftChars="-10" w:right="-21" w:rightChars="-10"/>
              <w:jc w:val="center"/>
              <w:rPr>
                <w:rFonts w:ascii="宋体" w:hAnsi="宋体" w:eastAsia="宋体" w:cs="宋体"/>
                <w:b w:val="0"/>
                <w:bCs w:val="0"/>
                <w:i w:val="0"/>
                <w:iCs w:val="0"/>
                <w:color w:val="000000"/>
                <w:kern w:val="0"/>
                <w:sz w:val="22"/>
              </w:rPr>
            </w:pPr>
            <w:r>
              <w:rPr>
                <w:rFonts w:hint="eastAsia" w:ascii="宋体" w:hAnsi="宋体" w:eastAsia="宋体" w:cs="宋体"/>
                <w:b/>
                <w:bCs/>
                <w:i w:val="0"/>
                <w:iCs w:val="0"/>
                <w:color w:val="000000"/>
                <w:kern w:val="0"/>
                <w:sz w:val="22"/>
              </w:rPr>
              <w:t>土地资源管理</w:t>
            </w:r>
          </w:p>
        </w:tc>
        <w:tc>
          <w:tcPr>
            <w:tcW w:w="1701"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42</w:t>
            </w:r>
          </w:p>
        </w:tc>
        <w:tc>
          <w:tcPr>
            <w:tcW w:w="1701"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37</w:t>
            </w:r>
          </w:p>
        </w:tc>
        <w:tc>
          <w:tcPr>
            <w:tcW w:w="2409"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88.10</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510" w:hRule="exact"/>
        </w:trPr>
        <w:tc>
          <w:tcPr>
            <w:tcW w:w="2802" w:type="dxa"/>
            <w:tcBorders>
              <w:top w:val="single" w:color="FFFFFF" w:sz="8" w:space="0"/>
              <w:left w:val="single" w:color="FFFFFF" w:sz="8" w:space="0"/>
              <w:bottom w:val="nil"/>
              <w:right w:val="single" w:color="FFFFFF" w:sz="24" w:space="0"/>
            </w:tcBorders>
            <w:shd w:val="clear" w:color="auto" w:fill="CCC0D9"/>
            <w:noWrap w:val="0"/>
            <w:vAlign w:val="center"/>
          </w:tcPr>
          <w:p>
            <w:pPr>
              <w:widowControl/>
              <w:spacing w:beforeAutospacing="1" w:afterAutospacing="1"/>
              <w:ind w:left="-21" w:leftChars="-10" w:right="-21" w:rightChars="-10"/>
              <w:jc w:val="center"/>
              <w:rPr>
                <w:rFonts w:ascii="宋体" w:hAnsi="宋体" w:eastAsia="宋体" w:cs="宋体"/>
                <w:b w:val="0"/>
                <w:bCs w:val="0"/>
                <w:i w:val="0"/>
                <w:iCs w:val="0"/>
                <w:color w:val="000000"/>
                <w:kern w:val="0"/>
                <w:sz w:val="22"/>
              </w:rPr>
            </w:pPr>
            <w:r>
              <w:rPr>
                <w:rFonts w:hint="eastAsia" w:ascii="宋体" w:hAnsi="宋体" w:eastAsia="宋体" w:cs="宋体"/>
                <w:b/>
                <w:bCs/>
                <w:i w:val="0"/>
                <w:iCs w:val="0"/>
                <w:color w:val="000000"/>
                <w:kern w:val="0"/>
                <w:sz w:val="22"/>
              </w:rPr>
              <w:t>房地产开发与管理</w:t>
            </w:r>
          </w:p>
        </w:tc>
        <w:tc>
          <w:tcPr>
            <w:tcW w:w="1701"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41</w:t>
            </w:r>
          </w:p>
        </w:tc>
        <w:tc>
          <w:tcPr>
            <w:tcW w:w="1701"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33</w:t>
            </w:r>
          </w:p>
        </w:tc>
        <w:tc>
          <w:tcPr>
            <w:tcW w:w="2409"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80.49</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510" w:hRule="exact"/>
        </w:trPr>
        <w:tc>
          <w:tcPr>
            <w:tcW w:w="2802" w:type="dxa"/>
            <w:tcBorders>
              <w:left w:val="single" w:color="FFFFFF" w:sz="8" w:space="0"/>
              <w:bottom w:val="nil"/>
              <w:right w:val="single" w:color="FFFFFF" w:sz="24" w:space="0"/>
            </w:tcBorders>
            <w:shd w:val="clear" w:color="auto" w:fill="CCC0D9"/>
            <w:noWrap w:val="0"/>
            <w:vAlign w:val="center"/>
          </w:tcPr>
          <w:p>
            <w:pPr>
              <w:widowControl/>
              <w:spacing w:beforeAutospacing="1" w:afterAutospacing="1"/>
              <w:ind w:left="-21" w:leftChars="-10" w:right="-21" w:rightChars="-10"/>
              <w:jc w:val="center"/>
              <w:rPr>
                <w:rFonts w:ascii="宋体" w:hAnsi="宋体" w:eastAsia="宋体" w:cs="宋体"/>
                <w:b w:val="0"/>
                <w:bCs w:val="0"/>
                <w:i w:val="0"/>
                <w:iCs w:val="0"/>
                <w:color w:val="000000"/>
                <w:kern w:val="0"/>
                <w:sz w:val="22"/>
              </w:rPr>
            </w:pPr>
            <w:r>
              <w:rPr>
                <w:rFonts w:hint="eastAsia" w:ascii="宋体" w:hAnsi="宋体" w:eastAsia="宋体" w:cs="宋体"/>
                <w:b/>
                <w:bCs/>
                <w:i w:val="0"/>
                <w:iCs w:val="0"/>
                <w:color w:val="000000"/>
                <w:kern w:val="0"/>
                <w:sz w:val="22"/>
              </w:rPr>
              <w:t>工程造价</w:t>
            </w:r>
          </w:p>
        </w:tc>
        <w:tc>
          <w:tcPr>
            <w:tcW w:w="1701"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91</w:t>
            </w:r>
          </w:p>
        </w:tc>
        <w:tc>
          <w:tcPr>
            <w:tcW w:w="1701" w:type="dxa"/>
            <w:shd w:val="clear" w:color="auto" w:fill="DFD8E8"/>
            <w:noWrap w:val="0"/>
            <w:vAlign w:val="center"/>
          </w:tcPr>
          <w:p>
            <w:pPr>
              <w:widowControl/>
              <w:spacing w:beforeAutospacing="1" w:afterAutospacing="1"/>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76</w:t>
            </w:r>
          </w:p>
        </w:tc>
        <w:tc>
          <w:tcPr>
            <w:tcW w:w="2409"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83.52</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510" w:hRule="exact"/>
        </w:trPr>
        <w:tc>
          <w:tcPr>
            <w:tcW w:w="2802" w:type="dxa"/>
            <w:tcBorders>
              <w:top w:val="single" w:color="FFFFFF" w:sz="8" w:space="0"/>
              <w:left w:val="single" w:color="FFFFFF" w:sz="8" w:space="0"/>
              <w:bottom w:val="nil"/>
              <w:right w:val="single" w:color="FFFFFF" w:sz="24" w:space="0"/>
            </w:tcBorders>
            <w:shd w:val="clear" w:color="auto" w:fill="CCC0D9"/>
            <w:noWrap w:val="0"/>
            <w:vAlign w:val="center"/>
          </w:tcPr>
          <w:p>
            <w:pPr>
              <w:widowControl/>
              <w:spacing w:beforeAutospacing="1" w:afterAutospacing="1"/>
              <w:ind w:left="-21" w:leftChars="-10" w:right="-21" w:rightChars="-10"/>
              <w:jc w:val="center"/>
              <w:rPr>
                <w:rFonts w:ascii="宋体" w:hAnsi="宋体" w:eastAsia="宋体" w:cs="宋体"/>
                <w:b w:val="0"/>
                <w:bCs w:val="0"/>
                <w:i w:val="0"/>
                <w:iCs w:val="0"/>
                <w:color w:val="000000"/>
                <w:kern w:val="0"/>
                <w:sz w:val="22"/>
              </w:rPr>
            </w:pPr>
            <w:r>
              <w:rPr>
                <w:rFonts w:hint="eastAsia" w:ascii="宋体" w:hAnsi="宋体" w:eastAsia="宋体" w:cs="宋体"/>
                <w:b/>
                <w:bCs/>
                <w:i w:val="0"/>
                <w:iCs w:val="0"/>
                <w:color w:val="000000"/>
                <w:kern w:val="0"/>
                <w:sz w:val="22"/>
              </w:rPr>
              <w:t>物流管理</w:t>
            </w:r>
          </w:p>
        </w:tc>
        <w:tc>
          <w:tcPr>
            <w:tcW w:w="1701"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46</w:t>
            </w:r>
          </w:p>
        </w:tc>
        <w:tc>
          <w:tcPr>
            <w:tcW w:w="1701"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33</w:t>
            </w:r>
          </w:p>
        </w:tc>
        <w:tc>
          <w:tcPr>
            <w:tcW w:w="2409"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71.74</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510" w:hRule="exact"/>
        </w:trPr>
        <w:tc>
          <w:tcPr>
            <w:tcW w:w="2802" w:type="dxa"/>
            <w:tcBorders>
              <w:left w:val="single" w:color="FFFFFF" w:sz="8" w:space="0"/>
              <w:bottom w:val="nil"/>
              <w:right w:val="single" w:color="FFFFFF" w:sz="24" w:space="0"/>
            </w:tcBorders>
            <w:shd w:val="clear" w:color="auto" w:fill="CCC0D9"/>
            <w:noWrap w:val="0"/>
            <w:vAlign w:val="center"/>
          </w:tcPr>
          <w:p>
            <w:pPr>
              <w:widowControl/>
              <w:spacing w:beforeAutospacing="1" w:afterAutospacing="1"/>
              <w:ind w:left="-21" w:leftChars="-10" w:right="-21" w:rightChars="-10"/>
              <w:jc w:val="center"/>
              <w:rPr>
                <w:rFonts w:ascii="宋体" w:hAnsi="宋体" w:eastAsia="宋体" w:cs="宋体"/>
                <w:b w:val="0"/>
                <w:bCs w:val="0"/>
                <w:i w:val="0"/>
                <w:iCs w:val="0"/>
                <w:color w:val="000000"/>
                <w:kern w:val="0"/>
                <w:sz w:val="22"/>
              </w:rPr>
            </w:pPr>
            <w:r>
              <w:rPr>
                <w:rFonts w:hint="eastAsia" w:ascii="宋体" w:hAnsi="宋体" w:eastAsia="宋体" w:cs="宋体"/>
                <w:b/>
                <w:bCs/>
                <w:i w:val="0"/>
                <w:iCs w:val="0"/>
                <w:color w:val="000000"/>
                <w:kern w:val="0"/>
                <w:sz w:val="22"/>
              </w:rPr>
              <w:t>翻译</w:t>
            </w:r>
          </w:p>
        </w:tc>
        <w:tc>
          <w:tcPr>
            <w:tcW w:w="1701"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36</w:t>
            </w:r>
          </w:p>
        </w:tc>
        <w:tc>
          <w:tcPr>
            <w:tcW w:w="1701"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26</w:t>
            </w:r>
          </w:p>
        </w:tc>
        <w:tc>
          <w:tcPr>
            <w:tcW w:w="2409"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72.22</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510" w:hRule="exact"/>
        </w:trPr>
        <w:tc>
          <w:tcPr>
            <w:tcW w:w="2802" w:type="dxa"/>
            <w:tcBorders>
              <w:top w:val="single" w:color="FFFFFF" w:sz="8" w:space="0"/>
              <w:left w:val="single" w:color="FFFFFF" w:sz="8" w:space="0"/>
              <w:bottom w:val="nil"/>
              <w:right w:val="single" w:color="FFFFFF" w:sz="24" w:space="0"/>
            </w:tcBorders>
            <w:shd w:val="clear" w:color="auto" w:fill="CCC0D9"/>
            <w:noWrap w:val="0"/>
            <w:vAlign w:val="center"/>
          </w:tcPr>
          <w:p>
            <w:pPr>
              <w:widowControl/>
              <w:spacing w:beforeAutospacing="1" w:afterAutospacing="1"/>
              <w:ind w:left="-21" w:leftChars="-10" w:right="-21" w:rightChars="-10"/>
              <w:jc w:val="center"/>
              <w:rPr>
                <w:rFonts w:ascii="宋体" w:hAnsi="宋体" w:eastAsia="宋体" w:cs="宋体"/>
                <w:b w:val="0"/>
                <w:bCs w:val="0"/>
                <w:i w:val="0"/>
                <w:iCs w:val="0"/>
                <w:color w:val="000000"/>
                <w:kern w:val="0"/>
                <w:sz w:val="22"/>
              </w:rPr>
            </w:pPr>
            <w:r>
              <w:rPr>
                <w:rFonts w:hint="eastAsia" w:ascii="宋体" w:hAnsi="宋体" w:eastAsia="宋体" w:cs="宋体"/>
                <w:b/>
                <w:bCs/>
                <w:i w:val="0"/>
                <w:iCs w:val="0"/>
                <w:color w:val="000000"/>
                <w:kern w:val="0"/>
                <w:sz w:val="22"/>
              </w:rPr>
              <w:t>英语</w:t>
            </w:r>
          </w:p>
        </w:tc>
        <w:tc>
          <w:tcPr>
            <w:tcW w:w="1701"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77</w:t>
            </w:r>
          </w:p>
        </w:tc>
        <w:tc>
          <w:tcPr>
            <w:tcW w:w="1701"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62</w:t>
            </w:r>
          </w:p>
        </w:tc>
        <w:tc>
          <w:tcPr>
            <w:tcW w:w="2409"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80.52</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510" w:hRule="exact"/>
        </w:trPr>
        <w:tc>
          <w:tcPr>
            <w:tcW w:w="2802" w:type="dxa"/>
            <w:tcBorders>
              <w:left w:val="single" w:color="FFFFFF" w:sz="8" w:space="0"/>
              <w:bottom w:val="nil"/>
              <w:right w:val="single" w:color="FFFFFF" w:sz="24" w:space="0"/>
            </w:tcBorders>
            <w:shd w:val="clear" w:color="auto" w:fill="CCC0D9"/>
            <w:noWrap w:val="0"/>
            <w:vAlign w:val="center"/>
          </w:tcPr>
          <w:p>
            <w:pPr>
              <w:widowControl/>
              <w:spacing w:beforeAutospacing="1" w:afterAutospacing="1"/>
              <w:ind w:left="-21" w:leftChars="-10" w:right="-21" w:rightChars="-10"/>
              <w:jc w:val="center"/>
              <w:rPr>
                <w:rFonts w:ascii="宋体" w:hAnsi="宋体" w:eastAsia="宋体" w:cs="宋体"/>
                <w:b w:val="0"/>
                <w:bCs w:val="0"/>
                <w:i w:val="0"/>
                <w:iCs w:val="0"/>
                <w:color w:val="000000"/>
                <w:kern w:val="0"/>
                <w:sz w:val="22"/>
              </w:rPr>
            </w:pPr>
            <w:r>
              <w:rPr>
                <w:rFonts w:hint="eastAsia" w:ascii="宋体" w:hAnsi="宋体" w:eastAsia="宋体" w:cs="宋体"/>
                <w:b/>
                <w:bCs/>
                <w:i w:val="0"/>
                <w:iCs w:val="0"/>
                <w:color w:val="000000"/>
                <w:kern w:val="0"/>
                <w:sz w:val="22"/>
              </w:rPr>
              <w:t>日语</w:t>
            </w:r>
          </w:p>
        </w:tc>
        <w:tc>
          <w:tcPr>
            <w:tcW w:w="1701"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34</w:t>
            </w:r>
          </w:p>
        </w:tc>
        <w:tc>
          <w:tcPr>
            <w:tcW w:w="1701"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29</w:t>
            </w:r>
          </w:p>
        </w:tc>
        <w:tc>
          <w:tcPr>
            <w:tcW w:w="2409"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85.29</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510" w:hRule="exact"/>
        </w:trPr>
        <w:tc>
          <w:tcPr>
            <w:tcW w:w="2802" w:type="dxa"/>
            <w:tcBorders>
              <w:top w:val="single" w:color="FFFFFF" w:sz="8" w:space="0"/>
              <w:left w:val="single" w:color="FFFFFF" w:sz="8" w:space="0"/>
              <w:bottom w:val="nil"/>
              <w:right w:val="single" w:color="FFFFFF" w:sz="24" w:space="0"/>
            </w:tcBorders>
            <w:shd w:val="clear" w:color="auto" w:fill="CCC0D9"/>
            <w:noWrap w:val="0"/>
            <w:vAlign w:val="center"/>
          </w:tcPr>
          <w:p>
            <w:pPr>
              <w:widowControl/>
              <w:spacing w:beforeAutospacing="1" w:afterAutospacing="1"/>
              <w:ind w:left="-21" w:leftChars="-10" w:right="-21" w:rightChars="-10"/>
              <w:jc w:val="center"/>
              <w:rPr>
                <w:rFonts w:ascii="宋体" w:hAnsi="宋体" w:eastAsia="宋体" w:cs="宋体"/>
                <w:b w:val="0"/>
                <w:bCs w:val="0"/>
                <w:i w:val="0"/>
                <w:iCs w:val="0"/>
                <w:color w:val="000000"/>
                <w:kern w:val="0"/>
                <w:sz w:val="22"/>
              </w:rPr>
            </w:pPr>
            <w:r>
              <w:rPr>
                <w:rFonts w:hint="eastAsia" w:ascii="宋体" w:hAnsi="宋体" w:eastAsia="宋体" w:cs="宋体"/>
                <w:b/>
                <w:bCs/>
                <w:i w:val="0"/>
                <w:iCs w:val="0"/>
                <w:color w:val="000000"/>
                <w:kern w:val="0"/>
                <w:sz w:val="22"/>
              </w:rPr>
              <w:t>国际经济与贸易</w:t>
            </w:r>
          </w:p>
        </w:tc>
        <w:tc>
          <w:tcPr>
            <w:tcW w:w="1701"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18"/>
                <w:szCs w:val="18"/>
              </w:rPr>
            </w:pPr>
            <w:r>
              <w:rPr>
                <w:rFonts w:hint="eastAsia" w:ascii="宋体" w:hAnsi="宋体" w:eastAsia="宋体" w:cs="宋体"/>
                <w:color w:val="000000"/>
                <w:kern w:val="0"/>
                <w:sz w:val="22"/>
              </w:rPr>
              <w:t>132</w:t>
            </w:r>
          </w:p>
        </w:tc>
        <w:tc>
          <w:tcPr>
            <w:tcW w:w="1701"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86</w:t>
            </w:r>
          </w:p>
        </w:tc>
        <w:tc>
          <w:tcPr>
            <w:tcW w:w="2409"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65.15</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510" w:hRule="exact"/>
        </w:trPr>
        <w:tc>
          <w:tcPr>
            <w:tcW w:w="2802" w:type="dxa"/>
            <w:tcBorders>
              <w:left w:val="single" w:color="FFFFFF" w:sz="8" w:space="0"/>
              <w:bottom w:val="nil"/>
              <w:right w:val="single" w:color="FFFFFF" w:sz="24" w:space="0"/>
            </w:tcBorders>
            <w:shd w:val="clear" w:color="auto" w:fill="CCC0D9"/>
            <w:noWrap w:val="0"/>
            <w:vAlign w:val="center"/>
          </w:tcPr>
          <w:p>
            <w:pPr>
              <w:widowControl/>
              <w:spacing w:beforeAutospacing="1" w:afterAutospacing="1"/>
              <w:ind w:left="-21" w:leftChars="-10" w:right="-21" w:rightChars="-10"/>
              <w:jc w:val="center"/>
              <w:rPr>
                <w:rFonts w:ascii="宋体" w:hAnsi="宋体" w:eastAsia="宋体" w:cs="宋体"/>
                <w:b w:val="0"/>
                <w:bCs w:val="0"/>
                <w:i w:val="0"/>
                <w:iCs w:val="0"/>
                <w:color w:val="000000"/>
                <w:kern w:val="0"/>
                <w:sz w:val="22"/>
              </w:rPr>
            </w:pPr>
            <w:r>
              <w:rPr>
                <w:rFonts w:hint="eastAsia" w:ascii="宋体" w:hAnsi="宋体" w:eastAsia="宋体" w:cs="宋体"/>
                <w:b/>
                <w:bCs/>
                <w:i w:val="0"/>
                <w:iCs w:val="0"/>
                <w:color w:val="000000"/>
                <w:kern w:val="0"/>
                <w:sz w:val="22"/>
              </w:rPr>
              <w:t>市场营销</w:t>
            </w:r>
          </w:p>
        </w:tc>
        <w:tc>
          <w:tcPr>
            <w:tcW w:w="1701"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113</w:t>
            </w:r>
          </w:p>
        </w:tc>
        <w:tc>
          <w:tcPr>
            <w:tcW w:w="1701"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89</w:t>
            </w:r>
          </w:p>
        </w:tc>
        <w:tc>
          <w:tcPr>
            <w:tcW w:w="2409"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78.76</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510" w:hRule="exact"/>
        </w:trPr>
        <w:tc>
          <w:tcPr>
            <w:tcW w:w="2802" w:type="dxa"/>
            <w:tcBorders>
              <w:top w:val="single" w:color="FFFFFF" w:sz="8" w:space="0"/>
              <w:left w:val="single" w:color="FFFFFF" w:sz="8" w:space="0"/>
              <w:bottom w:val="nil"/>
              <w:right w:val="single" w:color="FFFFFF" w:sz="24" w:space="0"/>
            </w:tcBorders>
            <w:shd w:val="clear" w:color="auto" w:fill="CCC0D9"/>
            <w:noWrap w:val="0"/>
            <w:vAlign w:val="center"/>
          </w:tcPr>
          <w:p>
            <w:pPr>
              <w:widowControl/>
              <w:spacing w:beforeAutospacing="1" w:afterAutospacing="1"/>
              <w:ind w:left="-21" w:leftChars="-10" w:right="-21" w:rightChars="-10"/>
              <w:jc w:val="center"/>
              <w:rPr>
                <w:rFonts w:ascii="宋体" w:hAnsi="宋体" w:eastAsia="宋体" w:cs="宋体"/>
                <w:b w:val="0"/>
                <w:bCs w:val="0"/>
                <w:i w:val="0"/>
                <w:iCs w:val="0"/>
                <w:color w:val="000000"/>
                <w:kern w:val="0"/>
                <w:sz w:val="22"/>
              </w:rPr>
            </w:pPr>
            <w:r>
              <w:rPr>
                <w:rFonts w:hint="eastAsia" w:ascii="宋体" w:hAnsi="宋体" w:eastAsia="宋体" w:cs="宋体"/>
                <w:b/>
                <w:bCs/>
                <w:i w:val="0"/>
                <w:iCs w:val="0"/>
                <w:color w:val="000000"/>
                <w:kern w:val="0"/>
                <w:sz w:val="22"/>
              </w:rPr>
              <w:t>国际商务</w:t>
            </w:r>
          </w:p>
        </w:tc>
        <w:tc>
          <w:tcPr>
            <w:tcW w:w="1701"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39</w:t>
            </w:r>
          </w:p>
        </w:tc>
        <w:tc>
          <w:tcPr>
            <w:tcW w:w="1701"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31</w:t>
            </w:r>
          </w:p>
        </w:tc>
        <w:tc>
          <w:tcPr>
            <w:tcW w:w="2409"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79.49</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510" w:hRule="exact"/>
        </w:trPr>
        <w:tc>
          <w:tcPr>
            <w:tcW w:w="2802" w:type="dxa"/>
            <w:tcBorders>
              <w:left w:val="single" w:color="FFFFFF" w:sz="8" w:space="0"/>
              <w:bottom w:val="nil"/>
              <w:right w:val="single" w:color="FFFFFF" w:sz="24" w:space="0"/>
            </w:tcBorders>
            <w:shd w:val="clear" w:color="auto" w:fill="CCC0D9"/>
            <w:noWrap w:val="0"/>
            <w:vAlign w:val="center"/>
          </w:tcPr>
          <w:p>
            <w:pPr>
              <w:widowControl/>
              <w:spacing w:beforeAutospacing="1" w:afterAutospacing="1"/>
              <w:ind w:left="-21" w:leftChars="-10" w:right="-21" w:rightChars="-10"/>
              <w:jc w:val="center"/>
              <w:rPr>
                <w:rFonts w:ascii="宋体" w:hAnsi="宋体" w:eastAsia="宋体" w:cs="宋体"/>
                <w:b w:val="0"/>
                <w:bCs w:val="0"/>
                <w:i w:val="0"/>
                <w:iCs w:val="0"/>
                <w:color w:val="000000"/>
                <w:kern w:val="0"/>
                <w:sz w:val="22"/>
              </w:rPr>
            </w:pPr>
            <w:r>
              <w:rPr>
                <w:rFonts w:hint="eastAsia" w:ascii="宋体" w:hAnsi="宋体" w:eastAsia="宋体" w:cs="宋体"/>
                <w:b/>
                <w:bCs/>
                <w:i w:val="0"/>
                <w:iCs w:val="0"/>
                <w:color w:val="000000"/>
                <w:kern w:val="0"/>
                <w:sz w:val="22"/>
              </w:rPr>
              <w:t>信息管理与信息系统</w:t>
            </w:r>
          </w:p>
        </w:tc>
        <w:tc>
          <w:tcPr>
            <w:tcW w:w="1701"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80</w:t>
            </w:r>
          </w:p>
        </w:tc>
        <w:tc>
          <w:tcPr>
            <w:tcW w:w="1701"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50</w:t>
            </w:r>
          </w:p>
        </w:tc>
        <w:tc>
          <w:tcPr>
            <w:tcW w:w="2409"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62.50</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510" w:hRule="exact"/>
        </w:trPr>
        <w:tc>
          <w:tcPr>
            <w:tcW w:w="2802" w:type="dxa"/>
            <w:tcBorders>
              <w:top w:val="single" w:color="FFFFFF" w:sz="8" w:space="0"/>
              <w:left w:val="single" w:color="FFFFFF" w:sz="8" w:space="0"/>
              <w:bottom w:val="nil"/>
              <w:right w:val="single" w:color="FFFFFF" w:sz="24" w:space="0"/>
            </w:tcBorders>
            <w:shd w:val="clear" w:color="auto" w:fill="CCC0D9"/>
            <w:noWrap w:val="0"/>
            <w:vAlign w:val="center"/>
          </w:tcPr>
          <w:p>
            <w:pPr>
              <w:widowControl/>
              <w:spacing w:beforeAutospacing="1" w:afterAutospacing="1"/>
              <w:ind w:left="-21" w:leftChars="-10" w:right="-21" w:rightChars="-10"/>
              <w:jc w:val="center"/>
              <w:rPr>
                <w:rFonts w:ascii="宋体" w:hAnsi="宋体" w:eastAsia="宋体" w:cs="宋体"/>
                <w:b w:val="0"/>
                <w:bCs w:val="0"/>
                <w:i w:val="0"/>
                <w:iCs w:val="0"/>
                <w:color w:val="000000"/>
                <w:kern w:val="0"/>
                <w:sz w:val="22"/>
              </w:rPr>
            </w:pPr>
            <w:r>
              <w:rPr>
                <w:rFonts w:hint="eastAsia" w:ascii="宋体" w:hAnsi="宋体" w:eastAsia="宋体" w:cs="宋体"/>
                <w:b/>
                <w:bCs/>
                <w:i w:val="0"/>
                <w:iCs w:val="0"/>
                <w:color w:val="000000"/>
                <w:kern w:val="0"/>
                <w:sz w:val="22"/>
              </w:rPr>
              <w:t>电子信息工程</w:t>
            </w:r>
          </w:p>
        </w:tc>
        <w:tc>
          <w:tcPr>
            <w:tcW w:w="1701"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37</w:t>
            </w:r>
          </w:p>
        </w:tc>
        <w:tc>
          <w:tcPr>
            <w:tcW w:w="1701"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26</w:t>
            </w:r>
          </w:p>
        </w:tc>
        <w:tc>
          <w:tcPr>
            <w:tcW w:w="2409"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70.27</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510" w:hRule="exact"/>
        </w:trPr>
        <w:tc>
          <w:tcPr>
            <w:tcW w:w="2802" w:type="dxa"/>
            <w:tcBorders>
              <w:left w:val="single" w:color="FFFFFF" w:sz="8" w:space="0"/>
              <w:bottom w:val="nil"/>
              <w:right w:val="single" w:color="FFFFFF" w:sz="24" w:space="0"/>
            </w:tcBorders>
            <w:shd w:val="clear" w:color="auto" w:fill="CCC0D9"/>
            <w:noWrap w:val="0"/>
            <w:vAlign w:val="center"/>
          </w:tcPr>
          <w:p>
            <w:pPr>
              <w:widowControl/>
              <w:spacing w:beforeAutospacing="1" w:afterAutospacing="1"/>
              <w:ind w:left="-21" w:leftChars="-10" w:right="-21" w:rightChars="-10"/>
              <w:jc w:val="center"/>
              <w:rPr>
                <w:rFonts w:ascii="宋体" w:hAnsi="宋体" w:eastAsia="宋体" w:cs="宋体"/>
                <w:b w:val="0"/>
                <w:bCs w:val="0"/>
                <w:i w:val="0"/>
                <w:iCs w:val="0"/>
                <w:color w:val="000000"/>
                <w:kern w:val="0"/>
                <w:sz w:val="22"/>
              </w:rPr>
            </w:pPr>
            <w:r>
              <w:rPr>
                <w:rFonts w:hint="eastAsia" w:ascii="宋体" w:hAnsi="宋体" w:eastAsia="宋体" w:cs="宋体"/>
                <w:b/>
                <w:bCs/>
                <w:i w:val="0"/>
                <w:iCs w:val="0"/>
                <w:color w:val="000000"/>
                <w:kern w:val="0"/>
                <w:sz w:val="22"/>
              </w:rPr>
              <w:t>电子商务</w:t>
            </w:r>
          </w:p>
        </w:tc>
        <w:tc>
          <w:tcPr>
            <w:tcW w:w="1701"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81</w:t>
            </w:r>
          </w:p>
        </w:tc>
        <w:tc>
          <w:tcPr>
            <w:tcW w:w="1701"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60</w:t>
            </w:r>
          </w:p>
        </w:tc>
        <w:tc>
          <w:tcPr>
            <w:tcW w:w="2409"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74.07</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510" w:hRule="exact"/>
        </w:trPr>
        <w:tc>
          <w:tcPr>
            <w:tcW w:w="2802" w:type="dxa"/>
            <w:tcBorders>
              <w:top w:val="single" w:color="FFFFFF" w:sz="8" w:space="0"/>
              <w:left w:val="single" w:color="FFFFFF" w:sz="8" w:space="0"/>
              <w:bottom w:val="nil"/>
              <w:right w:val="single" w:color="FFFFFF" w:sz="24" w:space="0"/>
            </w:tcBorders>
            <w:shd w:val="clear" w:color="auto" w:fill="CCC0D9"/>
            <w:noWrap w:val="0"/>
            <w:vAlign w:val="center"/>
          </w:tcPr>
          <w:p>
            <w:pPr>
              <w:widowControl/>
              <w:spacing w:beforeAutospacing="1" w:afterAutospacing="1"/>
              <w:ind w:left="-21" w:leftChars="-10" w:right="-21" w:rightChars="-10"/>
              <w:jc w:val="center"/>
              <w:rPr>
                <w:rFonts w:ascii="宋体" w:hAnsi="宋体" w:eastAsia="宋体" w:cs="宋体"/>
                <w:b w:val="0"/>
                <w:bCs w:val="0"/>
                <w:i w:val="0"/>
                <w:iCs w:val="0"/>
                <w:color w:val="000000"/>
                <w:kern w:val="0"/>
                <w:sz w:val="22"/>
              </w:rPr>
            </w:pPr>
            <w:r>
              <w:rPr>
                <w:rFonts w:hint="eastAsia" w:ascii="宋体" w:hAnsi="宋体" w:eastAsia="宋体" w:cs="宋体"/>
                <w:b/>
                <w:bCs/>
                <w:i w:val="0"/>
                <w:iCs w:val="0"/>
                <w:color w:val="000000"/>
                <w:kern w:val="0"/>
                <w:sz w:val="22"/>
              </w:rPr>
              <w:t>计算机科学与技术</w:t>
            </w:r>
          </w:p>
        </w:tc>
        <w:tc>
          <w:tcPr>
            <w:tcW w:w="1701"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40</w:t>
            </w:r>
          </w:p>
        </w:tc>
        <w:tc>
          <w:tcPr>
            <w:tcW w:w="1701"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27</w:t>
            </w:r>
          </w:p>
        </w:tc>
        <w:tc>
          <w:tcPr>
            <w:tcW w:w="2409"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67.50</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510" w:hRule="exact"/>
        </w:trPr>
        <w:tc>
          <w:tcPr>
            <w:tcW w:w="2802" w:type="dxa"/>
            <w:tcBorders>
              <w:left w:val="single" w:color="FFFFFF" w:sz="8" w:space="0"/>
              <w:bottom w:val="nil"/>
              <w:right w:val="single" w:color="FFFFFF" w:sz="24" w:space="0"/>
            </w:tcBorders>
            <w:shd w:val="clear" w:color="auto" w:fill="CCC0D9"/>
            <w:noWrap w:val="0"/>
            <w:vAlign w:val="center"/>
          </w:tcPr>
          <w:p>
            <w:pPr>
              <w:widowControl/>
              <w:spacing w:beforeAutospacing="1" w:afterAutospacing="1"/>
              <w:ind w:left="-21" w:leftChars="-10" w:right="-21" w:rightChars="-10"/>
              <w:jc w:val="center"/>
              <w:rPr>
                <w:rFonts w:ascii="宋体" w:hAnsi="宋体" w:eastAsia="宋体" w:cs="宋体"/>
                <w:b w:val="0"/>
                <w:bCs w:val="0"/>
                <w:i w:val="0"/>
                <w:iCs w:val="0"/>
                <w:color w:val="000000"/>
                <w:kern w:val="0"/>
                <w:sz w:val="22"/>
              </w:rPr>
            </w:pPr>
            <w:r>
              <w:rPr>
                <w:rFonts w:hint="eastAsia" w:ascii="宋体" w:hAnsi="宋体" w:eastAsia="宋体" w:cs="宋体"/>
                <w:b/>
                <w:bCs/>
                <w:i w:val="0"/>
                <w:iCs w:val="0"/>
                <w:color w:val="000000"/>
                <w:kern w:val="0"/>
                <w:sz w:val="22"/>
              </w:rPr>
              <w:t>人力资源管理</w:t>
            </w:r>
          </w:p>
        </w:tc>
        <w:tc>
          <w:tcPr>
            <w:tcW w:w="1701"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135</w:t>
            </w:r>
          </w:p>
        </w:tc>
        <w:tc>
          <w:tcPr>
            <w:tcW w:w="1701"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81</w:t>
            </w:r>
          </w:p>
        </w:tc>
        <w:tc>
          <w:tcPr>
            <w:tcW w:w="2409"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60.00</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510" w:hRule="exact"/>
        </w:trPr>
        <w:tc>
          <w:tcPr>
            <w:tcW w:w="2802" w:type="dxa"/>
            <w:tcBorders>
              <w:top w:val="single" w:color="FFFFFF" w:sz="8" w:space="0"/>
              <w:left w:val="single" w:color="FFFFFF" w:sz="8" w:space="0"/>
              <w:bottom w:val="nil"/>
              <w:right w:val="single" w:color="FFFFFF" w:sz="24" w:space="0"/>
            </w:tcBorders>
            <w:shd w:val="clear" w:color="auto" w:fill="CCC0D9"/>
            <w:noWrap w:val="0"/>
            <w:vAlign w:val="center"/>
          </w:tcPr>
          <w:p>
            <w:pPr>
              <w:widowControl/>
              <w:spacing w:beforeAutospacing="1" w:afterAutospacing="1"/>
              <w:ind w:left="-21" w:leftChars="-10" w:right="-21" w:rightChars="-10"/>
              <w:jc w:val="center"/>
              <w:rPr>
                <w:rFonts w:ascii="宋体" w:hAnsi="宋体" w:eastAsia="宋体" w:cs="宋体"/>
                <w:b w:val="0"/>
                <w:bCs w:val="0"/>
                <w:i w:val="0"/>
                <w:iCs w:val="0"/>
                <w:color w:val="000000"/>
                <w:kern w:val="0"/>
                <w:sz w:val="22"/>
              </w:rPr>
            </w:pPr>
            <w:r>
              <w:rPr>
                <w:rFonts w:hint="eastAsia" w:ascii="宋体" w:hAnsi="宋体" w:eastAsia="宋体" w:cs="宋体"/>
                <w:b/>
                <w:bCs/>
                <w:i w:val="0"/>
                <w:iCs w:val="0"/>
                <w:color w:val="000000"/>
                <w:kern w:val="0"/>
                <w:sz w:val="22"/>
              </w:rPr>
              <w:t>行政管理</w:t>
            </w:r>
          </w:p>
        </w:tc>
        <w:tc>
          <w:tcPr>
            <w:tcW w:w="1701"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79</w:t>
            </w:r>
          </w:p>
        </w:tc>
        <w:tc>
          <w:tcPr>
            <w:tcW w:w="1701"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70</w:t>
            </w:r>
          </w:p>
        </w:tc>
        <w:tc>
          <w:tcPr>
            <w:tcW w:w="2409"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88.61</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510" w:hRule="exact"/>
        </w:trPr>
        <w:tc>
          <w:tcPr>
            <w:tcW w:w="2802" w:type="dxa"/>
            <w:tcBorders>
              <w:left w:val="single" w:color="FFFFFF" w:sz="8" w:space="0"/>
              <w:bottom w:val="nil"/>
              <w:right w:val="single" w:color="FFFFFF" w:sz="24" w:space="0"/>
            </w:tcBorders>
            <w:shd w:val="clear" w:color="auto" w:fill="CCC0D9"/>
            <w:noWrap w:val="0"/>
            <w:vAlign w:val="center"/>
          </w:tcPr>
          <w:p>
            <w:pPr>
              <w:widowControl/>
              <w:spacing w:beforeAutospacing="1" w:afterAutospacing="1"/>
              <w:ind w:left="-21" w:leftChars="-10" w:right="-21" w:rightChars="-10"/>
              <w:jc w:val="center"/>
              <w:rPr>
                <w:rFonts w:ascii="宋体" w:hAnsi="宋体" w:eastAsia="宋体" w:cs="宋体"/>
                <w:b w:val="0"/>
                <w:bCs/>
                <w:i w:val="0"/>
                <w:iCs w:val="0"/>
                <w:color w:val="000000"/>
                <w:kern w:val="0"/>
                <w:sz w:val="22"/>
              </w:rPr>
            </w:pPr>
            <w:r>
              <w:rPr>
                <w:rFonts w:hint="eastAsia" w:ascii="宋体" w:hAnsi="宋体" w:eastAsia="宋体" w:cs="宋体"/>
                <w:b/>
                <w:bCs w:val="0"/>
                <w:i w:val="0"/>
                <w:iCs w:val="0"/>
                <w:color w:val="000000"/>
                <w:kern w:val="0"/>
                <w:sz w:val="22"/>
              </w:rPr>
              <w:t>商务英语</w:t>
            </w:r>
          </w:p>
        </w:tc>
        <w:tc>
          <w:tcPr>
            <w:tcW w:w="1701"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79</w:t>
            </w:r>
          </w:p>
        </w:tc>
        <w:tc>
          <w:tcPr>
            <w:tcW w:w="1701"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66</w:t>
            </w:r>
          </w:p>
        </w:tc>
        <w:tc>
          <w:tcPr>
            <w:tcW w:w="2409" w:type="dxa"/>
            <w:shd w:val="clear" w:color="auto" w:fill="DFD8E8"/>
            <w:noWrap w:val="0"/>
            <w:vAlign w:val="center"/>
          </w:tcPr>
          <w:p>
            <w:pPr>
              <w:widowControl/>
              <w:spacing w:beforeAutospacing="1" w:afterAutospacing="1"/>
              <w:jc w:val="center"/>
              <w:rPr>
                <w:rFonts w:ascii="宋体" w:hAnsi="宋体" w:eastAsia="宋体" w:cs="宋体"/>
                <w:color w:val="000000"/>
                <w:kern w:val="0"/>
                <w:sz w:val="22"/>
              </w:rPr>
            </w:pPr>
            <w:r>
              <w:rPr>
                <w:rFonts w:hint="eastAsia" w:ascii="宋体" w:hAnsi="宋体" w:eastAsia="宋体" w:cs="宋体"/>
                <w:color w:val="000000"/>
                <w:kern w:val="0"/>
                <w:sz w:val="22"/>
              </w:rPr>
              <w:t>83.54</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510" w:hRule="exact"/>
        </w:trPr>
        <w:tc>
          <w:tcPr>
            <w:tcW w:w="2802" w:type="dxa"/>
            <w:tcBorders>
              <w:top w:val="single" w:color="FFFFFF" w:sz="8" w:space="0"/>
              <w:left w:val="single" w:color="FFFFFF" w:sz="8" w:space="0"/>
              <w:bottom w:val="single" w:color="FFFFFF" w:sz="8" w:space="0"/>
              <w:right w:val="single" w:color="FFFFFF" w:sz="24" w:space="0"/>
            </w:tcBorders>
            <w:shd w:val="clear" w:color="auto" w:fill="CCC0D9"/>
            <w:noWrap w:val="0"/>
            <w:vAlign w:val="center"/>
          </w:tcPr>
          <w:p>
            <w:pPr>
              <w:widowControl/>
              <w:spacing w:beforeAutospacing="1" w:afterAutospacing="1"/>
              <w:ind w:left="-21" w:leftChars="-10" w:right="-21" w:rightChars="-10"/>
              <w:jc w:val="center"/>
              <w:rPr>
                <w:rFonts w:ascii="宋体" w:hAnsi="宋体" w:eastAsia="宋体" w:cs="宋体"/>
                <w:b w:val="0"/>
                <w:bCs/>
                <w:i w:val="0"/>
                <w:iCs w:val="0"/>
                <w:color w:val="000000"/>
                <w:kern w:val="0"/>
                <w:sz w:val="22"/>
              </w:rPr>
            </w:pPr>
            <w:r>
              <w:rPr>
                <w:rFonts w:hint="eastAsia" w:ascii="宋体" w:hAnsi="宋体" w:eastAsia="宋体" w:cs="宋体"/>
                <w:b/>
                <w:bCs w:val="0"/>
                <w:i w:val="0"/>
                <w:iCs w:val="0"/>
                <w:color w:val="000000"/>
                <w:kern w:val="0"/>
                <w:sz w:val="22"/>
              </w:rPr>
              <w:t>合   计</w:t>
            </w:r>
          </w:p>
        </w:tc>
        <w:tc>
          <w:tcPr>
            <w:tcW w:w="1701"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b/>
                <w:bCs/>
                <w:color w:val="000000"/>
                <w:kern w:val="0"/>
                <w:sz w:val="22"/>
              </w:rPr>
            </w:pPr>
            <w:r>
              <w:rPr>
                <w:rFonts w:hint="eastAsia" w:ascii="宋体" w:hAnsi="宋体" w:eastAsia="宋体" w:cs="宋体"/>
                <w:b/>
                <w:bCs/>
                <w:color w:val="000000"/>
                <w:kern w:val="0"/>
                <w:sz w:val="22"/>
              </w:rPr>
              <w:t>2411</w:t>
            </w:r>
          </w:p>
        </w:tc>
        <w:tc>
          <w:tcPr>
            <w:tcW w:w="1701"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b/>
                <w:bCs/>
                <w:color w:val="000000"/>
                <w:kern w:val="0"/>
                <w:sz w:val="22"/>
              </w:rPr>
            </w:pPr>
            <w:r>
              <w:rPr>
                <w:rFonts w:hint="eastAsia" w:ascii="宋体" w:hAnsi="宋体" w:eastAsia="宋体" w:cs="宋体"/>
                <w:b/>
                <w:bCs/>
                <w:color w:val="000000"/>
                <w:kern w:val="0"/>
                <w:sz w:val="22"/>
              </w:rPr>
              <w:t>1801</w:t>
            </w:r>
          </w:p>
        </w:tc>
        <w:tc>
          <w:tcPr>
            <w:tcW w:w="2409"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b/>
                <w:bCs/>
                <w:color w:val="000000"/>
                <w:kern w:val="0"/>
                <w:sz w:val="22"/>
              </w:rPr>
            </w:pPr>
            <w:r>
              <w:rPr>
                <w:rFonts w:hint="eastAsia" w:ascii="宋体" w:hAnsi="宋体" w:eastAsia="宋体" w:cs="宋体"/>
                <w:b/>
                <w:bCs/>
                <w:color w:val="000000"/>
                <w:kern w:val="0"/>
                <w:sz w:val="22"/>
              </w:rPr>
              <w:t>74.70</w:t>
            </w:r>
          </w:p>
        </w:tc>
      </w:tr>
    </w:tbl>
    <w:p>
      <w:pPr>
        <w:pStyle w:val="3"/>
        <w:spacing w:before="0" w:after="0"/>
        <w:rPr>
          <w:rFonts w:ascii="仿宋_GB2312" w:eastAsia="仿宋_GB2312"/>
          <w:b w:val="0"/>
          <w:color w:val="1F497D"/>
        </w:rPr>
      </w:pPr>
      <w:bookmarkStart w:id="40" w:name="_Toc19894"/>
      <w:bookmarkStart w:id="41" w:name="_Toc27724"/>
      <w:r>
        <w:rPr>
          <w:rFonts w:hint="eastAsia" w:ascii="仿宋_GB2312" w:eastAsia="仿宋_GB2312"/>
          <w:color w:val="1F497D"/>
        </w:rPr>
        <w:t>2.3 毕业生就业结构</w:t>
      </w:r>
      <w:bookmarkEnd w:id="40"/>
      <w:bookmarkEnd w:id="41"/>
    </w:p>
    <w:p>
      <w:pPr>
        <w:pStyle w:val="4"/>
        <w:spacing w:before="0" w:after="0"/>
        <w:rPr>
          <w:rFonts w:ascii="仿宋_GB2312" w:eastAsia="仿宋_GB2312"/>
          <w:b w:val="0"/>
          <w:color w:val="1F497D"/>
          <w:sz w:val="30"/>
          <w:szCs w:val="30"/>
        </w:rPr>
      </w:pPr>
      <w:bookmarkStart w:id="42" w:name="_Toc5994"/>
      <w:bookmarkStart w:id="43" w:name="_Toc8915"/>
      <w:r>
        <w:rPr>
          <w:rFonts w:hint="eastAsia" w:ascii="仿宋_GB2312" w:eastAsia="仿宋_GB2312"/>
          <w:color w:val="1F497D"/>
          <w:sz w:val="30"/>
          <w:szCs w:val="30"/>
        </w:rPr>
        <w:t>2.3.1 就业地域分布</w:t>
      </w:r>
      <w:bookmarkEnd w:id="42"/>
      <w:bookmarkEnd w:id="43"/>
    </w:p>
    <w:p>
      <w:pPr>
        <w:ind w:firstLine="551" w:firstLineChars="197"/>
        <w:rPr>
          <w:rFonts w:ascii="仿宋_GB2312" w:eastAsia="仿宋_GB2312"/>
          <w:color w:val="000000"/>
          <w:sz w:val="28"/>
          <w:szCs w:val="28"/>
        </w:rPr>
      </w:pPr>
      <w:r>
        <w:rPr>
          <w:rFonts w:hint="eastAsia" w:ascii="仿宋_GB2312" w:eastAsia="仿宋_GB2312"/>
          <w:color w:val="000000"/>
          <w:sz w:val="28"/>
          <w:szCs w:val="28"/>
        </w:rPr>
        <w:t>从统计数据可见：我校2019届毕业生就业地域流向主要集中在湖南地区，占63.33%，近年来，由于学校就业工作的深入开展，毕业生就业地区由原来相对集中在湖南地区，发展到覆盖全国26省市、自治区，逐步</w:t>
      </w:r>
      <w:r>
        <w:rPr>
          <w:rFonts w:hint="eastAsia" w:ascii="仿宋_GB2312" w:hAnsi="宋体" w:eastAsia="仿宋_GB2312"/>
          <w:color w:val="000000"/>
          <w:sz w:val="28"/>
          <w:szCs w:val="28"/>
        </w:rPr>
        <w:t>形成了以长株潭地区为中心，向珠三角、长三角等沿海地区及中西部地区辐射的就业格局</w:t>
      </w:r>
      <w:r>
        <w:rPr>
          <w:rFonts w:hint="eastAsia" w:ascii="仿宋_GB2312" w:eastAsia="仿宋_GB2312"/>
          <w:color w:val="000000"/>
          <w:sz w:val="28"/>
          <w:szCs w:val="28"/>
        </w:rPr>
        <w:t>，这主要与生源结构和区域经济发展水平紧密相关，也进一步体现了我校立足湖南，服务全国的定位，具体情况详见表2-4</w:t>
      </w:r>
    </w:p>
    <w:p>
      <w:pPr>
        <w:jc w:val="center"/>
        <w:rPr>
          <w:rFonts w:ascii="仿宋_GB2312" w:eastAsia="仿宋_GB2312"/>
          <w:b/>
          <w:color w:val="000000"/>
          <w:sz w:val="28"/>
          <w:szCs w:val="28"/>
        </w:rPr>
      </w:pPr>
      <w:r>
        <w:rPr>
          <w:rFonts w:hint="eastAsia" w:ascii="仿宋_GB2312" w:eastAsia="仿宋_GB2312"/>
          <w:b/>
          <w:color w:val="000000"/>
          <w:sz w:val="28"/>
          <w:szCs w:val="28"/>
        </w:rPr>
        <w:t>表2-4 2019届毕业生就业地区流向统计表（不含升学、出国）</w:t>
      </w:r>
    </w:p>
    <w:tbl>
      <w:tblPr>
        <w:tblStyle w:val="21"/>
        <w:tblW w:w="8330" w:type="dxa"/>
        <w:tblInd w:w="0" w:type="dxa"/>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fixed"/>
        <w:tblCellMar>
          <w:top w:w="0" w:type="dxa"/>
          <w:left w:w="108" w:type="dxa"/>
          <w:bottom w:w="0" w:type="dxa"/>
          <w:right w:w="108" w:type="dxa"/>
        </w:tblCellMar>
      </w:tblPr>
      <w:tblGrid>
        <w:gridCol w:w="1526"/>
        <w:gridCol w:w="1417"/>
        <w:gridCol w:w="1276"/>
        <w:gridCol w:w="1134"/>
        <w:gridCol w:w="1276"/>
        <w:gridCol w:w="1701"/>
      </w:tblGrid>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015" w:hRule="exact"/>
        </w:trPr>
        <w:tc>
          <w:tcPr>
            <w:tcW w:w="1526" w:type="dxa"/>
            <w:tcBorders>
              <w:top w:val="single" w:color="8064A2" w:sz="8" w:space="0"/>
              <w:left w:val="single" w:color="8064A2" w:sz="8" w:space="0"/>
              <w:bottom w:val="single" w:color="FFFFFF" w:sz="18" w:space="0"/>
              <w:right w:val="single" w:color="auto" w:sz="8" w:space="0"/>
            </w:tcBorders>
            <w:shd w:val="clear" w:color="auto" w:fill="8064A2"/>
            <w:noWrap w:val="0"/>
            <w:vAlign w:val="center"/>
          </w:tcPr>
          <w:p>
            <w:pPr>
              <w:widowControl/>
              <w:spacing w:before="0" w:after="0" w:line="240" w:lineRule="auto"/>
              <w:jc w:val="center"/>
              <w:rPr>
                <w:rFonts w:ascii="黑体" w:hAnsi="黑体" w:eastAsia="黑体" w:cs="黑体"/>
                <w:b/>
                <w:bCs/>
                <w:color w:val="FFFFFF"/>
                <w:kern w:val="0"/>
                <w:sz w:val="24"/>
                <w:szCs w:val="24"/>
              </w:rPr>
            </w:pPr>
            <w:r>
              <w:rPr>
                <w:rFonts w:hint="eastAsia" w:ascii="黑体" w:hAnsi="黑体" w:eastAsia="黑体" w:cs="黑体"/>
                <w:b/>
                <w:bCs/>
                <w:color w:val="FFFFFF"/>
                <w:kern w:val="0"/>
                <w:sz w:val="24"/>
                <w:szCs w:val="24"/>
              </w:rPr>
              <w:t>地区</w:t>
            </w:r>
          </w:p>
        </w:tc>
        <w:tc>
          <w:tcPr>
            <w:tcW w:w="1417" w:type="dxa"/>
            <w:tcBorders>
              <w:top w:val="single" w:color="8064A2" w:sz="8" w:space="0"/>
              <w:left w:val="single" w:color="8064A2" w:sz="8" w:space="0"/>
              <w:bottom w:val="single" w:color="FFFFFF" w:sz="18" w:space="0"/>
              <w:right w:val="single" w:color="auto" w:sz="8" w:space="0"/>
            </w:tcBorders>
            <w:shd w:val="clear" w:color="auto" w:fill="8064A2"/>
            <w:noWrap w:val="0"/>
            <w:vAlign w:val="center"/>
          </w:tcPr>
          <w:p>
            <w:pPr>
              <w:widowControl/>
              <w:spacing w:before="0" w:after="0" w:line="240" w:lineRule="auto"/>
              <w:jc w:val="center"/>
              <w:rPr>
                <w:rFonts w:ascii="黑体" w:hAnsi="黑体" w:eastAsia="黑体" w:cs="黑体"/>
                <w:b/>
                <w:bCs/>
                <w:color w:val="FFFFFF"/>
                <w:kern w:val="0"/>
                <w:sz w:val="24"/>
                <w:szCs w:val="24"/>
              </w:rPr>
            </w:pPr>
            <w:r>
              <w:rPr>
                <w:rFonts w:hint="eastAsia" w:ascii="黑体" w:hAnsi="黑体" w:eastAsia="黑体" w:cs="黑体"/>
                <w:b/>
                <w:bCs/>
                <w:color w:val="FFFFFF"/>
                <w:kern w:val="0"/>
                <w:sz w:val="24"/>
                <w:szCs w:val="24"/>
              </w:rPr>
              <w:t>就业人数</w:t>
            </w:r>
          </w:p>
        </w:tc>
        <w:tc>
          <w:tcPr>
            <w:tcW w:w="1276" w:type="dxa"/>
            <w:tcBorders>
              <w:top w:val="single" w:color="8064A2" w:sz="8" w:space="0"/>
              <w:left w:val="single" w:color="8064A2" w:sz="8" w:space="0"/>
              <w:bottom w:val="single" w:color="FFFFFF" w:sz="18" w:space="0"/>
              <w:right w:val="single" w:color="auto" w:sz="8" w:space="0"/>
            </w:tcBorders>
            <w:shd w:val="clear" w:color="auto" w:fill="8064A2"/>
            <w:noWrap w:val="0"/>
            <w:vAlign w:val="center"/>
          </w:tcPr>
          <w:p>
            <w:pPr>
              <w:widowControl/>
              <w:spacing w:before="0" w:after="0" w:line="240" w:lineRule="auto"/>
              <w:jc w:val="center"/>
              <w:rPr>
                <w:rFonts w:ascii="黑体" w:hAnsi="黑体" w:eastAsia="黑体" w:cs="黑体"/>
                <w:b/>
                <w:bCs/>
                <w:color w:val="FFFFFF"/>
                <w:kern w:val="0"/>
                <w:sz w:val="24"/>
                <w:szCs w:val="24"/>
              </w:rPr>
            </w:pPr>
            <w:r>
              <w:rPr>
                <w:rFonts w:hint="eastAsia" w:ascii="黑体" w:hAnsi="黑体" w:eastAsia="黑体" w:cs="黑体"/>
                <w:b/>
                <w:bCs/>
                <w:color w:val="FFFFFF"/>
                <w:kern w:val="0"/>
                <w:sz w:val="24"/>
                <w:szCs w:val="24"/>
              </w:rPr>
              <w:t>比例（%）</w:t>
            </w:r>
          </w:p>
        </w:tc>
        <w:tc>
          <w:tcPr>
            <w:tcW w:w="1134" w:type="dxa"/>
            <w:tcBorders>
              <w:top w:val="single" w:color="8064A2" w:sz="8" w:space="0"/>
              <w:left w:val="single" w:color="8064A2" w:sz="8" w:space="0"/>
              <w:bottom w:val="single" w:color="FFFFFF" w:sz="18" w:space="0"/>
              <w:right w:val="single" w:color="auto" w:sz="8" w:space="0"/>
            </w:tcBorders>
            <w:shd w:val="clear" w:color="auto" w:fill="8064A2"/>
            <w:noWrap w:val="0"/>
            <w:vAlign w:val="center"/>
          </w:tcPr>
          <w:p>
            <w:pPr>
              <w:widowControl/>
              <w:spacing w:before="0" w:after="0" w:line="240" w:lineRule="auto"/>
              <w:jc w:val="center"/>
              <w:rPr>
                <w:rFonts w:ascii="黑体" w:hAnsi="黑体" w:eastAsia="黑体" w:cs="黑体"/>
                <w:b/>
                <w:bCs/>
                <w:color w:val="FFFFFF"/>
                <w:kern w:val="0"/>
                <w:sz w:val="24"/>
                <w:szCs w:val="24"/>
              </w:rPr>
            </w:pPr>
            <w:r>
              <w:rPr>
                <w:rFonts w:hint="eastAsia" w:ascii="黑体" w:hAnsi="黑体" w:eastAsia="黑体" w:cs="黑体"/>
                <w:b/>
                <w:bCs/>
                <w:color w:val="FFFFFF"/>
                <w:kern w:val="0"/>
                <w:sz w:val="24"/>
                <w:szCs w:val="24"/>
              </w:rPr>
              <w:t>地区</w:t>
            </w:r>
          </w:p>
        </w:tc>
        <w:tc>
          <w:tcPr>
            <w:tcW w:w="1276" w:type="dxa"/>
            <w:tcBorders>
              <w:top w:val="single" w:color="8064A2" w:sz="8" w:space="0"/>
              <w:left w:val="single" w:color="8064A2" w:sz="8" w:space="0"/>
              <w:bottom w:val="single" w:color="FFFFFF" w:sz="18" w:space="0"/>
              <w:right w:val="single" w:color="auto" w:sz="8" w:space="0"/>
            </w:tcBorders>
            <w:shd w:val="clear" w:color="auto" w:fill="8064A2"/>
            <w:noWrap w:val="0"/>
            <w:vAlign w:val="center"/>
          </w:tcPr>
          <w:p>
            <w:pPr>
              <w:widowControl/>
              <w:spacing w:before="0" w:after="0" w:line="240" w:lineRule="auto"/>
              <w:jc w:val="center"/>
              <w:rPr>
                <w:rFonts w:ascii="黑体" w:hAnsi="黑体" w:eastAsia="黑体" w:cs="黑体"/>
                <w:b w:val="0"/>
                <w:bCs w:val="0"/>
                <w:color w:val="FFFFFF"/>
                <w:kern w:val="0"/>
                <w:sz w:val="24"/>
                <w:szCs w:val="24"/>
              </w:rPr>
            </w:pPr>
            <w:r>
              <w:rPr>
                <w:rFonts w:hint="eastAsia" w:ascii="黑体" w:hAnsi="黑体" w:eastAsia="黑体" w:cs="黑体"/>
                <w:b/>
                <w:bCs/>
                <w:color w:val="FFFFFF"/>
                <w:kern w:val="0"/>
                <w:sz w:val="24"/>
                <w:szCs w:val="24"/>
              </w:rPr>
              <w:t>就业人数</w:t>
            </w:r>
          </w:p>
        </w:tc>
        <w:tc>
          <w:tcPr>
            <w:tcW w:w="1701" w:type="dxa"/>
            <w:tcBorders>
              <w:top w:val="single" w:color="8064A2" w:sz="8" w:space="0"/>
              <w:left w:val="single" w:color="8064A2" w:sz="8" w:space="0"/>
              <w:bottom w:val="single" w:color="FFFFFF" w:sz="18" w:space="0"/>
              <w:right w:val="single" w:color="8064A2" w:sz="8" w:space="0"/>
            </w:tcBorders>
            <w:shd w:val="clear" w:color="auto" w:fill="8064A2"/>
            <w:noWrap w:val="0"/>
            <w:vAlign w:val="center"/>
          </w:tcPr>
          <w:p>
            <w:pPr>
              <w:widowControl/>
              <w:spacing w:before="0" w:after="0" w:line="240" w:lineRule="auto"/>
              <w:jc w:val="center"/>
              <w:rPr>
                <w:rFonts w:ascii="黑体" w:hAnsi="黑体" w:eastAsia="黑体" w:cs="黑体"/>
                <w:b/>
                <w:bCs/>
                <w:color w:val="FFFFFF"/>
                <w:kern w:val="0"/>
                <w:sz w:val="24"/>
                <w:szCs w:val="24"/>
              </w:rPr>
            </w:pPr>
            <w:r>
              <w:rPr>
                <w:rFonts w:hint="eastAsia" w:ascii="黑体" w:hAnsi="黑体" w:eastAsia="黑体" w:cs="黑体"/>
                <w:b/>
                <w:bCs/>
                <w:color w:val="FFFFFF"/>
                <w:kern w:val="0"/>
                <w:sz w:val="24"/>
                <w:szCs w:val="24"/>
              </w:rPr>
              <w:t>比例（%）</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510" w:hRule="exact"/>
        </w:trPr>
        <w:tc>
          <w:tcPr>
            <w:tcW w:w="1526" w:type="dxa"/>
            <w:tcBorders>
              <w:top w:val="single" w:color="FFFFFF"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b/>
                <w:bCs/>
                <w:color w:val="000000"/>
                <w:kern w:val="0"/>
                <w:sz w:val="22"/>
              </w:rPr>
            </w:pPr>
            <w:r>
              <w:rPr>
                <w:rFonts w:hint="eastAsia" w:ascii="宋体" w:hAnsi="宋体" w:eastAsia="宋体" w:cs="Arial"/>
                <w:b/>
                <w:bCs/>
                <w:color w:val="000000"/>
                <w:kern w:val="0"/>
                <w:sz w:val="22"/>
              </w:rPr>
              <w:t>安徽</w:t>
            </w:r>
          </w:p>
        </w:tc>
        <w:tc>
          <w:tcPr>
            <w:tcW w:w="1417" w:type="dxa"/>
            <w:tcBorders>
              <w:top w:val="single" w:color="FFFFFF"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13</w:t>
            </w:r>
          </w:p>
        </w:tc>
        <w:tc>
          <w:tcPr>
            <w:tcW w:w="1276" w:type="dxa"/>
            <w:tcBorders>
              <w:top w:val="single" w:color="FFFFFF"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0.83</w:t>
            </w:r>
          </w:p>
        </w:tc>
        <w:tc>
          <w:tcPr>
            <w:tcW w:w="1134" w:type="dxa"/>
            <w:tcBorders>
              <w:top w:val="single" w:color="FFFFFF"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b/>
                <w:color w:val="000000"/>
                <w:kern w:val="0"/>
                <w:sz w:val="22"/>
              </w:rPr>
            </w:pPr>
            <w:r>
              <w:rPr>
                <w:rFonts w:hint="eastAsia" w:ascii="宋体" w:hAnsi="宋体" w:eastAsia="宋体" w:cs="Arial"/>
                <w:b/>
                <w:color w:val="000000"/>
                <w:kern w:val="0"/>
                <w:sz w:val="22"/>
              </w:rPr>
              <w:t>江西</w:t>
            </w:r>
          </w:p>
        </w:tc>
        <w:tc>
          <w:tcPr>
            <w:tcW w:w="1276" w:type="dxa"/>
            <w:tcBorders>
              <w:top w:val="single" w:color="FFFFFF"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11</w:t>
            </w:r>
          </w:p>
        </w:tc>
        <w:tc>
          <w:tcPr>
            <w:tcW w:w="1701" w:type="dxa"/>
            <w:tcBorders>
              <w:top w:val="single" w:color="FFFFFF"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0.70</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510" w:hRule="exact"/>
        </w:trPr>
        <w:tc>
          <w:tcPr>
            <w:tcW w:w="1526"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b/>
                <w:bCs/>
                <w:color w:val="000000"/>
                <w:kern w:val="0"/>
                <w:sz w:val="22"/>
              </w:rPr>
            </w:pPr>
            <w:r>
              <w:rPr>
                <w:rFonts w:hint="eastAsia" w:ascii="宋体" w:hAnsi="宋体" w:eastAsia="宋体" w:cs="Arial"/>
                <w:b/>
                <w:bCs/>
                <w:color w:val="000000"/>
                <w:kern w:val="0"/>
                <w:sz w:val="22"/>
              </w:rPr>
              <w:t>北京</w:t>
            </w:r>
          </w:p>
        </w:tc>
        <w:tc>
          <w:tcPr>
            <w:tcW w:w="1417"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26</w:t>
            </w:r>
          </w:p>
        </w:tc>
        <w:tc>
          <w:tcPr>
            <w:tcW w:w="1276"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1.66</w:t>
            </w:r>
          </w:p>
        </w:tc>
        <w:tc>
          <w:tcPr>
            <w:tcW w:w="1134"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b/>
                <w:color w:val="000000"/>
                <w:kern w:val="0"/>
                <w:sz w:val="22"/>
              </w:rPr>
            </w:pPr>
            <w:r>
              <w:rPr>
                <w:rFonts w:hint="eastAsia" w:ascii="宋体" w:hAnsi="宋体" w:eastAsia="宋体" w:cs="Arial"/>
                <w:b/>
                <w:color w:val="000000"/>
                <w:kern w:val="0"/>
                <w:sz w:val="22"/>
              </w:rPr>
              <w:t>辽宁</w:t>
            </w:r>
          </w:p>
        </w:tc>
        <w:tc>
          <w:tcPr>
            <w:tcW w:w="1276"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5</w:t>
            </w:r>
          </w:p>
        </w:tc>
        <w:tc>
          <w:tcPr>
            <w:tcW w:w="1701"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0.32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510" w:hRule="exact"/>
        </w:trPr>
        <w:tc>
          <w:tcPr>
            <w:tcW w:w="1526"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b/>
                <w:bCs/>
                <w:color w:val="000000"/>
                <w:kern w:val="0"/>
                <w:sz w:val="22"/>
              </w:rPr>
            </w:pPr>
            <w:r>
              <w:rPr>
                <w:rFonts w:hint="eastAsia" w:ascii="宋体" w:hAnsi="宋体" w:eastAsia="宋体" w:cs="Arial"/>
                <w:b/>
                <w:bCs/>
                <w:color w:val="000000"/>
                <w:kern w:val="0"/>
                <w:sz w:val="22"/>
              </w:rPr>
              <w:t>福建</w:t>
            </w:r>
          </w:p>
        </w:tc>
        <w:tc>
          <w:tcPr>
            <w:tcW w:w="1417"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12</w:t>
            </w:r>
          </w:p>
        </w:tc>
        <w:tc>
          <w:tcPr>
            <w:tcW w:w="1276"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0.77</w:t>
            </w:r>
          </w:p>
        </w:tc>
        <w:tc>
          <w:tcPr>
            <w:tcW w:w="1134"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b/>
                <w:color w:val="000000"/>
                <w:kern w:val="0"/>
                <w:sz w:val="22"/>
              </w:rPr>
            </w:pPr>
            <w:r>
              <w:rPr>
                <w:rFonts w:hint="eastAsia" w:ascii="宋体" w:hAnsi="宋体" w:eastAsia="宋体" w:cs="Arial"/>
                <w:b/>
                <w:color w:val="000000"/>
                <w:kern w:val="0"/>
                <w:sz w:val="22"/>
              </w:rPr>
              <w:t>山东</w:t>
            </w:r>
          </w:p>
        </w:tc>
        <w:tc>
          <w:tcPr>
            <w:tcW w:w="1276"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6</w:t>
            </w:r>
          </w:p>
        </w:tc>
        <w:tc>
          <w:tcPr>
            <w:tcW w:w="1701"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0.38</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510" w:hRule="exact"/>
        </w:trPr>
        <w:tc>
          <w:tcPr>
            <w:tcW w:w="1526"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b/>
                <w:bCs/>
                <w:color w:val="000000"/>
                <w:kern w:val="0"/>
                <w:sz w:val="22"/>
              </w:rPr>
            </w:pPr>
            <w:r>
              <w:rPr>
                <w:rFonts w:hint="eastAsia" w:ascii="宋体" w:hAnsi="宋体" w:eastAsia="宋体" w:cs="Arial"/>
                <w:b/>
                <w:bCs/>
                <w:color w:val="000000"/>
                <w:kern w:val="0"/>
                <w:sz w:val="22"/>
              </w:rPr>
              <w:t>广东</w:t>
            </w:r>
          </w:p>
        </w:tc>
        <w:tc>
          <w:tcPr>
            <w:tcW w:w="1417"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315</w:t>
            </w:r>
          </w:p>
        </w:tc>
        <w:tc>
          <w:tcPr>
            <w:tcW w:w="1276"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20.09</w:t>
            </w:r>
          </w:p>
        </w:tc>
        <w:tc>
          <w:tcPr>
            <w:tcW w:w="1134"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b/>
                <w:color w:val="000000"/>
                <w:kern w:val="0"/>
                <w:sz w:val="22"/>
              </w:rPr>
            </w:pPr>
            <w:r>
              <w:rPr>
                <w:rFonts w:hint="eastAsia" w:ascii="宋体" w:hAnsi="宋体" w:eastAsia="宋体" w:cs="Arial"/>
                <w:b/>
                <w:color w:val="000000"/>
                <w:kern w:val="0"/>
                <w:sz w:val="22"/>
              </w:rPr>
              <w:t>山西</w:t>
            </w:r>
          </w:p>
        </w:tc>
        <w:tc>
          <w:tcPr>
            <w:tcW w:w="1276"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4</w:t>
            </w:r>
          </w:p>
        </w:tc>
        <w:tc>
          <w:tcPr>
            <w:tcW w:w="1701"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0.26</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510" w:hRule="exact"/>
        </w:trPr>
        <w:tc>
          <w:tcPr>
            <w:tcW w:w="1526"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b/>
                <w:bCs/>
                <w:color w:val="000000"/>
                <w:kern w:val="0"/>
                <w:sz w:val="22"/>
              </w:rPr>
            </w:pPr>
            <w:r>
              <w:rPr>
                <w:rFonts w:hint="eastAsia" w:ascii="宋体" w:hAnsi="宋体" w:eastAsia="宋体" w:cs="Arial"/>
                <w:b/>
                <w:bCs/>
                <w:color w:val="000000"/>
                <w:kern w:val="0"/>
                <w:sz w:val="22"/>
              </w:rPr>
              <w:t>广西</w:t>
            </w:r>
          </w:p>
        </w:tc>
        <w:tc>
          <w:tcPr>
            <w:tcW w:w="1417"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6</w:t>
            </w:r>
          </w:p>
        </w:tc>
        <w:tc>
          <w:tcPr>
            <w:tcW w:w="1276"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0.38</w:t>
            </w:r>
          </w:p>
        </w:tc>
        <w:tc>
          <w:tcPr>
            <w:tcW w:w="1134"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b/>
                <w:color w:val="000000"/>
                <w:kern w:val="0"/>
                <w:sz w:val="22"/>
              </w:rPr>
            </w:pPr>
            <w:r>
              <w:rPr>
                <w:rFonts w:hint="eastAsia" w:ascii="宋体" w:hAnsi="宋体" w:eastAsia="宋体" w:cs="Arial"/>
                <w:b/>
                <w:color w:val="000000"/>
                <w:kern w:val="0"/>
                <w:sz w:val="22"/>
              </w:rPr>
              <w:t>陕西</w:t>
            </w:r>
          </w:p>
        </w:tc>
        <w:tc>
          <w:tcPr>
            <w:tcW w:w="1276"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6</w:t>
            </w:r>
          </w:p>
        </w:tc>
        <w:tc>
          <w:tcPr>
            <w:tcW w:w="1701"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0.38</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510" w:hRule="exact"/>
        </w:trPr>
        <w:tc>
          <w:tcPr>
            <w:tcW w:w="1526"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b/>
                <w:bCs/>
                <w:color w:val="000000"/>
                <w:kern w:val="0"/>
                <w:sz w:val="22"/>
              </w:rPr>
            </w:pPr>
            <w:r>
              <w:rPr>
                <w:rFonts w:hint="eastAsia" w:ascii="宋体" w:hAnsi="宋体" w:eastAsia="宋体" w:cs="Arial"/>
                <w:b/>
                <w:bCs/>
                <w:color w:val="000000"/>
                <w:kern w:val="0"/>
                <w:sz w:val="22"/>
              </w:rPr>
              <w:t>贵州</w:t>
            </w:r>
          </w:p>
        </w:tc>
        <w:tc>
          <w:tcPr>
            <w:tcW w:w="1417"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9</w:t>
            </w:r>
          </w:p>
        </w:tc>
        <w:tc>
          <w:tcPr>
            <w:tcW w:w="1276"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0.57</w:t>
            </w:r>
          </w:p>
        </w:tc>
        <w:tc>
          <w:tcPr>
            <w:tcW w:w="1134"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b/>
                <w:color w:val="000000"/>
                <w:kern w:val="0"/>
                <w:sz w:val="22"/>
              </w:rPr>
            </w:pPr>
            <w:r>
              <w:rPr>
                <w:rFonts w:hint="eastAsia" w:ascii="宋体" w:hAnsi="宋体" w:eastAsia="宋体" w:cs="Arial"/>
                <w:b/>
                <w:color w:val="000000"/>
                <w:kern w:val="0"/>
                <w:sz w:val="22"/>
              </w:rPr>
              <w:t>上海</w:t>
            </w:r>
          </w:p>
        </w:tc>
        <w:tc>
          <w:tcPr>
            <w:tcW w:w="1276"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28</w:t>
            </w:r>
          </w:p>
        </w:tc>
        <w:tc>
          <w:tcPr>
            <w:tcW w:w="1701"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17.86</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510" w:hRule="exact"/>
        </w:trPr>
        <w:tc>
          <w:tcPr>
            <w:tcW w:w="1526"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b/>
                <w:bCs/>
                <w:color w:val="000000"/>
                <w:kern w:val="0"/>
                <w:sz w:val="22"/>
              </w:rPr>
            </w:pPr>
            <w:r>
              <w:rPr>
                <w:rFonts w:hint="eastAsia" w:ascii="宋体" w:hAnsi="宋体" w:eastAsia="宋体" w:cs="Arial"/>
                <w:b/>
                <w:bCs/>
                <w:color w:val="000000"/>
                <w:kern w:val="0"/>
                <w:sz w:val="22"/>
              </w:rPr>
              <w:t>海南</w:t>
            </w:r>
          </w:p>
        </w:tc>
        <w:tc>
          <w:tcPr>
            <w:tcW w:w="1417"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12</w:t>
            </w:r>
          </w:p>
        </w:tc>
        <w:tc>
          <w:tcPr>
            <w:tcW w:w="1276"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0.77</w:t>
            </w:r>
          </w:p>
        </w:tc>
        <w:tc>
          <w:tcPr>
            <w:tcW w:w="1134"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b/>
                <w:color w:val="000000"/>
                <w:kern w:val="0"/>
                <w:sz w:val="22"/>
              </w:rPr>
            </w:pPr>
            <w:r>
              <w:rPr>
                <w:rFonts w:hint="eastAsia" w:ascii="宋体" w:hAnsi="宋体" w:eastAsia="宋体" w:cs="Arial"/>
                <w:b/>
                <w:color w:val="000000"/>
                <w:kern w:val="0"/>
                <w:sz w:val="22"/>
              </w:rPr>
              <w:t>四川</w:t>
            </w:r>
          </w:p>
        </w:tc>
        <w:tc>
          <w:tcPr>
            <w:tcW w:w="1276"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5</w:t>
            </w:r>
          </w:p>
        </w:tc>
        <w:tc>
          <w:tcPr>
            <w:tcW w:w="1701"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0.32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510" w:hRule="exact"/>
        </w:trPr>
        <w:tc>
          <w:tcPr>
            <w:tcW w:w="1526"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b/>
                <w:bCs/>
                <w:color w:val="000000"/>
                <w:kern w:val="0"/>
                <w:sz w:val="22"/>
              </w:rPr>
            </w:pPr>
            <w:r>
              <w:rPr>
                <w:rFonts w:hint="eastAsia" w:ascii="宋体" w:hAnsi="宋体" w:eastAsia="宋体" w:cs="Arial"/>
                <w:b/>
                <w:bCs/>
                <w:color w:val="000000"/>
                <w:kern w:val="0"/>
                <w:sz w:val="22"/>
              </w:rPr>
              <w:t>江苏</w:t>
            </w:r>
          </w:p>
        </w:tc>
        <w:tc>
          <w:tcPr>
            <w:tcW w:w="1417"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28</w:t>
            </w:r>
          </w:p>
        </w:tc>
        <w:tc>
          <w:tcPr>
            <w:tcW w:w="1276"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17.86</w:t>
            </w:r>
          </w:p>
        </w:tc>
        <w:tc>
          <w:tcPr>
            <w:tcW w:w="1134"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b/>
                <w:color w:val="000000"/>
                <w:kern w:val="0"/>
                <w:sz w:val="22"/>
              </w:rPr>
            </w:pPr>
            <w:r>
              <w:rPr>
                <w:rFonts w:hint="eastAsia" w:ascii="宋体" w:hAnsi="宋体" w:eastAsia="宋体" w:cs="Arial"/>
                <w:b/>
                <w:color w:val="000000"/>
                <w:kern w:val="0"/>
                <w:sz w:val="22"/>
              </w:rPr>
              <w:t>天津</w:t>
            </w:r>
          </w:p>
        </w:tc>
        <w:tc>
          <w:tcPr>
            <w:tcW w:w="1276"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2</w:t>
            </w:r>
          </w:p>
        </w:tc>
        <w:tc>
          <w:tcPr>
            <w:tcW w:w="1701"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0.13</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510" w:hRule="exact"/>
        </w:trPr>
        <w:tc>
          <w:tcPr>
            <w:tcW w:w="1526"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b/>
                <w:bCs/>
                <w:color w:val="000000"/>
                <w:kern w:val="0"/>
                <w:sz w:val="22"/>
              </w:rPr>
            </w:pPr>
            <w:r>
              <w:rPr>
                <w:rFonts w:hint="eastAsia" w:ascii="宋体" w:hAnsi="宋体" w:eastAsia="宋体" w:cs="Arial"/>
                <w:b/>
                <w:bCs/>
                <w:color w:val="000000"/>
                <w:kern w:val="0"/>
                <w:sz w:val="22"/>
              </w:rPr>
              <w:t>河南</w:t>
            </w:r>
          </w:p>
        </w:tc>
        <w:tc>
          <w:tcPr>
            <w:tcW w:w="1417"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8</w:t>
            </w:r>
          </w:p>
        </w:tc>
        <w:tc>
          <w:tcPr>
            <w:tcW w:w="1276"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0.51</w:t>
            </w:r>
          </w:p>
        </w:tc>
        <w:tc>
          <w:tcPr>
            <w:tcW w:w="1134"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b/>
                <w:color w:val="000000"/>
                <w:kern w:val="0"/>
                <w:sz w:val="22"/>
              </w:rPr>
            </w:pPr>
            <w:r>
              <w:rPr>
                <w:rFonts w:hint="eastAsia" w:ascii="宋体" w:hAnsi="宋体" w:eastAsia="宋体" w:cs="Arial"/>
                <w:b/>
                <w:color w:val="000000"/>
                <w:kern w:val="0"/>
                <w:sz w:val="22"/>
              </w:rPr>
              <w:t>西藏</w:t>
            </w:r>
          </w:p>
        </w:tc>
        <w:tc>
          <w:tcPr>
            <w:tcW w:w="1276"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2</w:t>
            </w:r>
          </w:p>
        </w:tc>
        <w:tc>
          <w:tcPr>
            <w:tcW w:w="1701"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0.13</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510" w:hRule="exact"/>
        </w:trPr>
        <w:tc>
          <w:tcPr>
            <w:tcW w:w="1526"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b/>
                <w:bCs/>
                <w:color w:val="000000"/>
                <w:kern w:val="0"/>
                <w:sz w:val="22"/>
              </w:rPr>
            </w:pPr>
            <w:r>
              <w:rPr>
                <w:rFonts w:hint="eastAsia" w:ascii="宋体" w:hAnsi="宋体" w:eastAsia="宋体" w:cs="Arial"/>
                <w:b/>
                <w:bCs/>
                <w:color w:val="000000"/>
                <w:kern w:val="0"/>
                <w:sz w:val="22"/>
              </w:rPr>
              <w:t>黑龙江</w:t>
            </w:r>
          </w:p>
        </w:tc>
        <w:tc>
          <w:tcPr>
            <w:tcW w:w="1417"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1</w:t>
            </w:r>
          </w:p>
        </w:tc>
        <w:tc>
          <w:tcPr>
            <w:tcW w:w="1276"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0.06</w:t>
            </w:r>
          </w:p>
        </w:tc>
        <w:tc>
          <w:tcPr>
            <w:tcW w:w="1134"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b/>
                <w:color w:val="000000"/>
                <w:kern w:val="0"/>
                <w:sz w:val="22"/>
              </w:rPr>
            </w:pPr>
            <w:r>
              <w:rPr>
                <w:rFonts w:hint="eastAsia" w:ascii="宋体" w:hAnsi="宋体" w:eastAsia="宋体" w:cs="Arial"/>
                <w:b/>
                <w:color w:val="000000"/>
                <w:kern w:val="0"/>
                <w:sz w:val="22"/>
              </w:rPr>
              <w:t>浙江</w:t>
            </w:r>
          </w:p>
        </w:tc>
        <w:tc>
          <w:tcPr>
            <w:tcW w:w="1276"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30</w:t>
            </w:r>
          </w:p>
        </w:tc>
        <w:tc>
          <w:tcPr>
            <w:tcW w:w="1701"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19.13</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510" w:hRule="exact"/>
        </w:trPr>
        <w:tc>
          <w:tcPr>
            <w:tcW w:w="1526"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b/>
                <w:bCs/>
                <w:color w:val="000000"/>
                <w:kern w:val="0"/>
                <w:sz w:val="22"/>
              </w:rPr>
            </w:pPr>
            <w:r>
              <w:rPr>
                <w:rFonts w:hint="eastAsia" w:ascii="宋体" w:hAnsi="宋体" w:eastAsia="宋体" w:cs="Arial"/>
                <w:b/>
                <w:bCs/>
                <w:color w:val="000000"/>
                <w:kern w:val="0"/>
                <w:sz w:val="22"/>
              </w:rPr>
              <w:t>湖北</w:t>
            </w:r>
          </w:p>
        </w:tc>
        <w:tc>
          <w:tcPr>
            <w:tcW w:w="1417"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22</w:t>
            </w:r>
          </w:p>
        </w:tc>
        <w:tc>
          <w:tcPr>
            <w:tcW w:w="1276"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1.40</w:t>
            </w:r>
          </w:p>
        </w:tc>
        <w:tc>
          <w:tcPr>
            <w:tcW w:w="1134"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b/>
                <w:color w:val="000000"/>
                <w:kern w:val="0"/>
                <w:sz w:val="22"/>
              </w:rPr>
            </w:pPr>
            <w:r>
              <w:rPr>
                <w:rFonts w:hint="eastAsia" w:ascii="宋体" w:hAnsi="宋体" w:eastAsia="宋体" w:cs="Arial"/>
                <w:b/>
                <w:color w:val="000000"/>
                <w:kern w:val="0"/>
                <w:sz w:val="22"/>
              </w:rPr>
              <w:t>云南</w:t>
            </w:r>
          </w:p>
        </w:tc>
        <w:tc>
          <w:tcPr>
            <w:tcW w:w="1276"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13</w:t>
            </w:r>
          </w:p>
        </w:tc>
        <w:tc>
          <w:tcPr>
            <w:tcW w:w="1701"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0.83</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510" w:hRule="exact"/>
        </w:trPr>
        <w:tc>
          <w:tcPr>
            <w:tcW w:w="1526"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b/>
                <w:bCs/>
                <w:color w:val="000000"/>
                <w:kern w:val="0"/>
                <w:sz w:val="22"/>
              </w:rPr>
            </w:pPr>
            <w:r>
              <w:rPr>
                <w:rFonts w:hint="eastAsia" w:ascii="宋体" w:hAnsi="宋体" w:eastAsia="宋体" w:cs="Arial"/>
                <w:b/>
                <w:bCs/>
                <w:color w:val="000000"/>
                <w:kern w:val="0"/>
                <w:sz w:val="22"/>
              </w:rPr>
              <w:t>湖南</w:t>
            </w:r>
          </w:p>
        </w:tc>
        <w:tc>
          <w:tcPr>
            <w:tcW w:w="1417"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993</w:t>
            </w:r>
          </w:p>
        </w:tc>
        <w:tc>
          <w:tcPr>
            <w:tcW w:w="1276"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63.33</w:t>
            </w:r>
          </w:p>
        </w:tc>
        <w:tc>
          <w:tcPr>
            <w:tcW w:w="1134"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b/>
                <w:color w:val="000000"/>
                <w:kern w:val="0"/>
                <w:sz w:val="22"/>
              </w:rPr>
            </w:pPr>
            <w:r>
              <w:rPr>
                <w:rFonts w:hint="eastAsia" w:ascii="宋体" w:hAnsi="宋体" w:eastAsia="宋体" w:cs="Arial"/>
                <w:b/>
                <w:color w:val="000000"/>
                <w:kern w:val="0"/>
                <w:sz w:val="22"/>
              </w:rPr>
              <w:t>青海</w:t>
            </w:r>
          </w:p>
        </w:tc>
        <w:tc>
          <w:tcPr>
            <w:tcW w:w="1276"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1</w:t>
            </w:r>
          </w:p>
        </w:tc>
        <w:tc>
          <w:tcPr>
            <w:tcW w:w="1701"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0.06</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510" w:hRule="exact"/>
        </w:trPr>
        <w:tc>
          <w:tcPr>
            <w:tcW w:w="1526"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b/>
                <w:bCs/>
                <w:color w:val="000000"/>
                <w:kern w:val="0"/>
                <w:sz w:val="22"/>
              </w:rPr>
            </w:pPr>
            <w:r>
              <w:rPr>
                <w:rFonts w:hint="eastAsia" w:ascii="宋体" w:hAnsi="宋体" w:eastAsia="宋体" w:cs="Arial"/>
                <w:b/>
                <w:bCs/>
                <w:color w:val="000000"/>
                <w:kern w:val="0"/>
                <w:sz w:val="22"/>
              </w:rPr>
              <w:t>吉林</w:t>
            </w:r>
          </w:p>
        </w:tc>
        <w:tc>
          <w:tcPr>
            <w:tcW w:w="1417"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1</w:t>
            </w:r>
          </w:p>
        </w:tc>
        <w:tc>
          <w:tcPr>
            <w:tcW w:w="1276"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0.06</w:t>
            </w:r>
          </w:p>
        </w:tc>
        <w:tc>
          <w:tcPr>
            <w:tcW w:w="1134"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b/>
                <w:color w:val="000000"/>
                <w:kern w:val="0"/>
                <w:sz w:val="22"/>
              </w:rPr>
            </w:pPr>
            <w:r>
              <w:rPr>
                <w:rFonts w:hint="eastAsia" w:ascii="宋体" w:hAnsi="宋体" w:eastAsia="宋体" w:cs="Arial"/>
                <w:b/>
                <w:color w:val="000000"/>
                <w:kern w:val="0"/>
                <w:sz w:val="22"/>
              </w:rPr>
              <w:t>重庆</w:t>
            </w:r>
          </w:p>
        </w:tc>
        <w:tc>
          <w:tcPr>
            <w:tcW w:w="1276"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9</w:t>
            </w:r>
          </w:p>
        </w:tc>
        <w:tc>
          <w:tcPr>
            <w:tcW w:w="1701"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宋体" w:hAnsi="宋体" w:eastAsia="宋体" w:cs="Arial"/>
                <w:color w:val="000000"/>
                <w:kern w:val="0"/>
                <w:sz w:val="22"/>
              </w:rPr>
            </w:pPr>
            <w:r>
              <w:rPr>
                <w:rFonts w:hint="eastAsia" w:ascii="宋体" w:hAnsi="宋体" w:eastAsia="宋体" w:cs="Arial"/>
                <w:color w:val="000000"/>
                <w:kern w:val="0"/>
                <w:sz w:val="22"/>
              </w:rPr>
              <w:t>0.57</w:t>
            </w:r>
          </w:p>
        </w:tc>
      </w:tr>
    </w:tbl>
    <w:p>
      <w:pPr>
        <w:pStyle w:val="4"/>
        <w:spacing w:before="0" w:after="0"/>
        <w:rPr>
          <w:rFonts w:ascii="仿宋_GB2312" w:eastAsia="仿宋_GB2312"/>
          <w:b w:val="0"/>
          <w:color w:val="1F497D"/>
          <w:sz w:val="30"/>
          <w:szCs w:val="30"/>
        </w:rPr>
      </w:pPr>
      <w:bookmarkStart w:id="44" w:name="_Toc14253"/>
      <w:bookmarkStart w:id="45" w:name="_Toc21126"/>
      <w:r>
        <w:rPr>
          <w:rFonts w:hint="eastAsia" w:ascii="仿宋_GB2312" w:eastAsia="仿宋_GB2312"/>
          <w:color w:val="1F497D"/>
          <w:sz w:val="30"/>
          <w:szCs w:val="30"/>
        </w:rPr>
        <w:t>2.3.2 单位行业流向</w:t>
      </w:r>
      <w:bookmarkEnd w:id="44"/>
      <w:bookmarkEnd w:id="45"/>
    </w:p>
    <w:p>
      <w:pPr>
        <w:ind w:firstLine="560" w:firstLineChars="200"/>
        <w:rPr>
          <w:rFonts w:ascii="仿宋_GB2312" w:hAnsi="Calibri" w:eastAsia="仿宋_GB2312"/>
          <w:sz w:val="28"/>
          <w:szCs w:val="28"/>
        </w:rPr>
      </w:pPr>
      <w:r>
        <w:rPr>
          <w:rFonts w:hint="eastAsia" w:ascii="仿宋_GB2312" w:hAnsi="Calibri" w:eastAsia="仿宋_GB2312"/>
          <w:color w:val="000000"/>
          <w:sz w:val="28"/>
          <w:szCs w:val="28"/>
        </w:rPr>
        <w:t>2019年，毕业生在</w:t>
      </w:r>
      <w:r>
        <w:rPr>
          <w:rFonts w:hint="eastAsia" w:ascii="仿宋_GB2312" w:hAnsi="Calibri" w:eastAsia="仿宋_GB2312" w:cs="宋体"/>
          <w:color w:val="000000"/>
          <w:kern w:val="0"/>
          <w:sz w:val="28"/>
          <w:szCs w:val="28"/>
        </w:rPr>
        <w:t>租赁和商务服务业、</w:t>
      </w:r>
      <w:r>
        <w:rPr>
          <w:rFonts w:hint="eastAsia" w:ascii="仿宋_GB2312" w:hAnsi="Calibri" w:eastAsia="仿宋_GB2312"/>
          <w:color w:val="000000"/>
          <w:sz w:val="28"/>
          <w:szCs w:val="28"/>
        </w:rPr>
        <w:t>金融业、批发和零售业、建筑业、</w:t>
      </w:r>
      <w:r>
        <w:rPr>
          <w:rFonts w:hint="eastAsia" w:ascii="仿宋_GB2312" w:hAnsi="Calibri" w:eastAsia="仿宋_GB2312" w:cs="宋体"/>
          <w:color w:val="000000"/>
          <w:kern w:val="0"/>
          <w:sz w:val="28"/>
          <w:szCs w:val="28"/>
        </w:rPr>
        <w:t>信息传输、软件和信息技术服务业、教育</w:t>
      </w:r>
      <w:r>
        <w:rPr>
          <w:rFonts w:hint="eastAsia" w:ascii="仿宋_GB2312" w:hAnsi="Calibri" w:eastAsia="仿宋_GB2312"/>
          <w:color w:val="000000"/>
          <w:sz w:val="28"/>
          <w:szCs w:val="28"/>
        </w:rPr>
        <w:t>等多个行业就业，尽管就业行业的分布约有变化，但金融业一直为主要的行业流向。其中，租赁和商务服务业260人，占签约人数的17.07%；金融行业签约人数257人，占签约总人数的16.87%；批发和零售业214人，占签约人数的14.05%；</w:t>
      </w:r>
      <w:r>
        <w:rPr>
          <w:rFonts w:hint="eastAsia" w:ascii="仿宋_GB2312" w:hAnsi="黑体" w:eastAsia="仿宋_GB2312"/>
          <w:color w:val="000000"/>
          <w:sz w:val="28"/>
          <w:szCs w:val="28"/>
        </w:rPr>
        <w:t>建筑业</w:t>
      </w:r>
      <w:r>
        <w:rPr>
          <w:rFonts w:hint="eastAsia" w:ascii="仿宋_GB2312" w:hAnsi="Calibri" w:eastAsia="仿宋_GB2312"/>
          <w:color w:val="000000"/>
          <w:sz w:val="28"/>
          <w:szCs w:val="28"/>
        </w:rPr>
        <w:t>签约157人，占签约总人数的10.31%；信息传输、软件和信息技术服务业签约145人，占签约人数的9.27%；</w:t>
      </w:r>
      <w:r>
        <w:rPr>
          <w:rFonts w:hint="eastAsia" w:ascii="仿宋_GB2312" w:hAnsi="黑体" w:eastAsia="仿宋_GB2312"/>
          <w:color w:val="000000"/>
          <w:sz w:val="28"/>
          <w:szCs w:val="28"/>
        </w:rPr>
        <w:t>教育业</w:t>
      </w:r>
      <w:r>
        <w:rPr>
          <w:rFonts w:hint="eastAsia" w:ascii="仿宋_GB2312" w:hAnsi="Calibri" w:eastAsia="仿宋_GB2312"/>
          <w:color w:val="000000"/>
          <w:sz w:val="28"/>
          <w:szCs w:val="28"/>
        </w:rPr>
        <w:t>签约人数143人，占签约总人数的9.52%，</w:t>
      </w:r>
      <w:r>
        <w:rPr>
          <w:rFonts w:hint="eastAsia" w:ascii="仿宋_GB2312" w:hAnsi="Calibri" w:eastAsia="仿宋_GB2312"/>
          <w:sz w:val="28"/>
          <w:szCs w:val="28"/>
        </w:rPr>
        <w:t>近年来，随着学校就业引导工作的深入开展，学生就业多元化发展的趋势越来越明显，进入服务性行业、股份制企业、</w:t>
      </w:r>
      <w:r>
        <w:rPr>
          <w:rFonts w:hint="eastAsia" w:ascii="仿宋_GB2312" w:hAnsi="Calibri" w:eastAsia="仿宋_GB2312"/>
          <w:color w:val="000000"/>
          <w:sz w:val="28"/>
          <w:szCs w:val="28"/>
        </w:rPr>
        <w:t>信息传输、软件、信息技术</w:t>
      </w:r>
      <w:r>
        <w:rPr>
          <w:rFonts w:hint="eastAsia" w:ascii="仿宋_GB2312" w:hAnsi="Calibri" w:eastAsia="仿宋_GB2312"/>
          <w:bCs/>
          <w:color w:val="000000"/>
          <w:sz w:val="28"/>
          <w:szCs w:val="28"/>
        </w:rPr>
        <w:t>、民营企业及基层岗位就业的</w:t>
      </w:r>
      <w:r>
        <w:rPr>
          <w:rFonts w:hint="eastAsia" w:ascii="仿宋_GB2312" w:hAnsi="Calibri" w:eastAsia="仿宋_GB2312"/>
          <w:sz w:val="28"/>
          <w:szCs w:val="28"/>
        </w:rPr>
        <w:t>毕业生人数比例均有所提升。</w:t>
      </w:r>
      <w:r>
        <w:rPr>
          <w:rFonts w:hint="eastAsia" w:ascii="仿宋_GB2312" w:hAnsi="Calibri" w:eastAsia="仿宋_GB2312"/>
          <w:bCs/>
          <w:color w:val="000000"/>
          <w:sz w:val="28"/>
          <w:szCs w:val="28"/>
        </w:rPr>
        <w:t>80%以上毕业生在企业及基层岗位就业，符合我校培养应用型人才的目标定位。</w:t>
      </w:r>
      <w:r>
        <w:rPr>
          <w:rFonts w:hint="eastAsia" w:ascii="仿宋_GB2312" w:hAnsi="Calibri" w:eastAsia="仿宋_GB2312"/>
          <w:sz w:val="28"/>
          <w:szCs w:val="28"/>
        </w:rPr>
        <w:t>具体情况见表2-5、</w:t>
      </w:r>
      <w:r>
        <w:rPr>
          <w:rFonts w:hint="eastAsia" w:ascii="仿宋_GB2312" w:hAnsi="Calibri" w:eastAsia="仿宋_GB2312"/>
          <w:bCs/>
          <w:sz w:val="28"/>
          <w:szCs w:val="28"/>
        </w:rPr>
        <w:t>图2-2</w:t>
      </w:r>
      <w:r>
        <w:rPr>
          <w:rFonts w:hint="eastAsia" w:ascii="仿宋_GB2312" w:hAnsi="Calibri" w:eastAsia="仿宋_GB2312"/>
          <w:b/>
          <w:sz w:val="28"/>
          <w:szCs w:val="28"/>
        </w:rPr>
        <w:t xml:space="preserve"> </w:t>
      </w:r>
      <w:r>
        <w:rPr>
          <w:rFonts w:hint="eastAsia" w:ascii="仿宋_GB2312" w:hAnsi="Calibri" w:eastAsia="仿宋_GB2312"/>
          <w:sz w:val="28"/>
          <w:szCs w:val="28"/>
        </w:rPr>
        <w:t>。</w:t>
      </w:r>
    </w:p>
    <w:p>
      <w:pPr>
        <w:jc w:val="center"/>
        <w:rPr>
          <w:rFonts w:ascii="仿宋_GB2312" w:eastAsia="仿宋_GB2312"/>
          <w:b/>
          <w:color w:val="000000"/>
          <w:sz w:val="30"/>
          <w:szCs w:val="30"/>
        </w:rPr>
      </w:pPr>
      <w:r>
        <w:rPr>
          <w:rFonts w:hint="eastAsia" w:ascii="仿宋_GB2312" w:eastAsia="仿宋_GB2312"/>
          <w:b/>
          <w:color w:val="000000"/>
          <w:sz w:val="30"/>
          <w:szCs w:val="30"/>
        </w:rPr>
        <w:t>表</w:t>
      </w:r>
      <w:r>
        <w:rPr>
          <w:rFonts w:ascii="仿宋_GB2312" w:eastAsia="仿宋_GB2312"/>
          <w:b/>
          <w:color w:val="000000"/>
          <w:sz w:val="30"/>
          <w:szCs w:val="30"/>
        </w:rPr>
        <w:t>2-</w:t>
      </w:r>
      <w:r>
        <w:rPr>
          <w:rFonts w:hint="eastAsia" w:ascii="仿宋_GB2312" w:eastAsia="仿宋_GB2312"/>
          <w:b/>
          <w:color w:val="000000"/>
          <w:sz w:val="30"/>
          <w:szCs w:val="30"/>
        </w:rPr>
        <w:t>5</w:t>
      </w:r>
      <w:r>
        <w:rPr>
          <w:rFonts w:ascii="仿宋_GB2312" w:eastAsia="仿宋_GB2312"/>
          <w:b/>
          <w:color w:val="000000"/>
          <w:sz w:val="30"/>
          <w:szCs w:val="30"/>
        </w:rPr>
        <w:t xml:space="preserve">  201</w:t>
      </w:r>
      <w:r>
        <w:rPr>
          <w:rFonts w:hint="eastAsia" w:ascii="仿宋_GB2312" w:eastAsia="仿宋_GB2312"/>
          <w:b/>
          <w:color w:val="000000"/>
          <w:sz w:val="30"/>
          <w:szCs w:val="30"/>
        </w:rPr>
        <w:t>9届毕业生就业单位行业人数统计表</w:t>
      </w:r>
    </w:p>
    <w:p>
      <w:pPr>
        <w:jc w:val="center"/>
        <w:rPr>
          <w:rFonts w:ascii="仿宋_GB2312" w:eastAsia="仿宋_GB2312"/>
          <w:b/>
          <w:sz w:val="24"/>
          <w:szCs w:val="24"/>
        </w:rPr>
      </w:pPr>
      <w:r>
        <w:rPr>
          <w:rFonts w:hint="eastAsia" w:ascii="仿宋_GB2312" w:eastAsia="仿宋_GB2312"/>
          <w:b/>
          <w:sz w:val="24"/>
          <w:szCs w:val="24"/>
        </w:rPr>
        <w:t>（不含升学、出国出境和自由职业）</w:t>
      </w:r>
    </w:p>
    <w:tbl>
      <w:tblPr>
        <w:tblStyle w:val="25"/>
        <w:tblW w:w="8205" w:type="dxa"/>
        <w:jc w:val="center"/>
        <w:tblBorders>
          <w:top w:val="single" w:color="CF7B79" w:sz="8" w:space="0"/>
          <w:left w:val="single" w:color="CF7B79" w:sz="8" w:space="0"/>
          <w:bottom w:val="single" w:color="CF7B79" w:sz="8" w:space="0"/>
          <w:right w:val="single" w:color="CF7B79" w:sz="8" w:space="0"/>
          <w:insideH w:val="single" w:color="CF7B79" w:sz="8" w:space="0"/>
          <w:insideV w:val="none" w:color="auto" w:sz="0" w:space="0"/>
        </w:tblBorders>
        <w:tblLayout w:type="fixed"/>
        <w:tblCellMar>
          <w:top w:w="0" w:type="dxa"/>
          <w:left w:w="108" w:type="dxa"/>
          <w:bottom w:w="0" w:type="dxa"/>
          <w:right w:w="108" w:type="dxa"/>
        </w:tblCellMar>
      </w:tblPr>
      <w:tblGrid>
        <w:gridCol w:w="3851"/>
        <w:gridCol w:w="1769"/>
        <w:gridCol w:w="2585"/>
      </w:tblGrid>
      <w:tr>
        <w:tblPrEx>
          <w:tblBorders>
            <w:top w:val="single" w:color="CF7B79" w:sz="8" w:space="0"/>
            <w:left w:val="single" w:color="CF7B79" w:sz="8" w:space="0"/>
            <w:bottom w:val="single" w:color="CF7B79" w:sz="8" w:space="0"/>
            <w:right w:val="single" w:color="CF7B79" w:sz="8" w:space="0"/>
            <w:insideH w:val="single" w:color="CF7B79" w:sz="8" w:space="0"/>
            <w:insideV w:val="none" w:color="auto" w:sz="0" w:space="0"/>
          </w:tblBorders>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FFFFFF" w:sz="8" w:space="0"/>
              <w:right w:val="nil"/>
            </w:tcBorders>
            <w:shd w:val="clear" w:color="auto" w:fill="8064A2"/>
            <w:noWrap w:val="0"/>
            <w:vAlign w:val="center"/>
          </w:tcPr>
          <w:p>
            <w:pPr>
              <w:widowControl/>
              <w:spacing w:before="0" w:after="0" w:line="240" w:lineRule="auto"/>
              <w:jc w:val="center"/>
              <w:rPr>
                <w:rFonts w:ascii="黑体" w:hAnsi="黑体" w:eastAsia="黑体" w:cs="黑体"/>
                <w:b/>
                <w:bCs w:val="0"/>
                <w:color w:val="FFFFFF"/>
                <w:kern w:val="0"/>
                <w:sz w:val="28"/>
                <w:szCs w:val="28"/>
              </w:rPr>
            </w:pPr>
            <w:r>
              <w:rPr>
                <w:rFonts w:hint="eastAsia" w:ascii="黑体" w:hAnsi="黑体" w:eastAsia="黑体" w:cs="黑体"/>
                <w:b/>
                <w:bCs w:val="0"/>
                <w:color w:val="FFFFFF"/>
                <w:kern w:val="0"/>
                <w:sz w:val="28"/>
                <w:szCs w:val="28"/>
              </w:rPr>
              <w:t>行业类别</w:t>
            </w:r>
          </w:p>
        </w:tc>
        <w:tc>
          <w:tcPr>
            <w:tcW w:w="1769" w:type="dxa"/>
            <w:tcBorders>
              <w:top w:val="single" w:color="8064A2" w:sz="8" w:space="0"/>
              <w:left w:val="single" w:color="8064A2" w:sz="8" w:space="0"/>
              <w:bottom w:val="single" w:color="FFFFFF" w:sz="8" w:space="0"/>
              <w:right w:val="nil"/>
            </w:tcBorders>
            <w:shd w:val="clear" w:color="auto" w:fill="8064A2"/>
            <w:noWrap w:val="0"/>
            <w:vAlign w:val="center"/>
          </w:tcPr>
          <w:p>
            <w:pPr>
              <w:widowControl/>
              <w:spacing w:before="0" w:after="0" w:line="240" w:lineRule="auto"/>
              <w:jc w:val="center"/>
              <w:rPr>
                <w:rFonts w:ascii="黑体" w:hAnsi="黑体" w:eastAsia="黑体" w:cs="黑体"/>
                <w:b/>
                <w:bCs w:val="0"/>
                <w:color w:val="FFFFFF"/>
                <w:kern w:val="0"/>
                <w:sz w:val="28"/>
                <w:szCs w:val="28"/>
              </w:rPr>
            </w:pPr>
            <w:r>
              <w:rPr>
                <w:rFonts w:hint="eastAsia" w:ascii="黑体" w:hAnsi="黑体" w:eastAsia="黑体" w:cs="黑体"/>
                <w:b/>
                <w:bCs w:val="0"/>
                <w:color w:val="FFFFFF"/>
                <w:kern w:val="0"/>
                <w:sz w:val="28"/>
                <w:szCs w:val="28"/>
              </w:rPr>
              <w:t>就业人数</w:t>
            </w:r>
          </w:p>
        </w:tc>
        <w:tc>
          <w:tcPr>
            <w:tcW w:w="2585" w:type="dxa"/>
            <w:tcBorders>
              <w:top w:val="single" w:color="8064A2" w:sz="8" w:space="0"/>
              <w:left w:val="single" w:color="8064A2" w:sz="8" w:space="0"/>
              <w:bottom w:val="single" w:color="FFFFFF" w:sz="8" w:space="0"/>
              <w:right w:val="single" w:color="8064A2" w:sz="8" w:space="0"/>
            </w:tcBorders>
            <w:shd w:val="clear" w:color="auto" w:fill="8064A2"/>
            <w:noWrap w:val="0"/>
            <w:vAlign w:val="center"/>
          </w:tcPr>
          <w:p>
            <w:pPr>
              <w:widowControl/>
              <w:spacing w:before="0" w:after="0" w:line="240" w:lineRule="auto"/>
              <w:jc w:val="center"/>
              <w:rPr>
                <w:rFonts w:ascii="黑体" w:hAnsi="黑体" w:eastAsia="黑体" w:cs="黑体"/>
                <w:b/>
                <w:bCs w:val="0"/>
                <w:color w:val="FFFFFF"/>
                <w:kern w:val="0"/>
                <w:sz w:val="28"/>
                <w:szCs w:val="28"/>
              </w:rPr>
            </w:pPr>
            <w:r>
              <w:rPr>
                <w:rFonts w:hint="eastAsia" w:ascii="黑体" w:hAnsi="黑体" w:eastAsia="黑体" w:cs="黑体"/>
                <w:b/>
                <w:bCs w:val="0"/>
                <w:color w:val="FFFFFF"/>
                <w:kern w:val="0"/>
                <w:sz w:val="28"/>
                <w:szCs w:val="28"/>
              </w:rPr>
              <w:t>所占比例（%）</w:t>
            </w:r>
          </w:p>
        </w:tc>
      </w:tr>
      <w:tr>
        <w:tblPrEx>
          <w:tblBorders>
            <w:top w:val="single" w:color="CF7B79" w:sz="8" w:space="0"/>
            <w:left w:val="single" w:color="CF7B79" w:sz="8" w:space="0"/>
            <w:bottom w:val="single" w:color="CF7B79" w:sz="8" w:space="0"/>
            <w:right w:val="single" w:color="CF7B79" w:sz="8" w:space="0"/>
            <w:insideH w:val="single" w:color="CF7B79" w:sz="8" w:space="0"/>
            <w:insideV w:val="none" w:color="auto" w:sz="0" w:space="0"/>
          </w:tblBorders>
          <w:tblCellMar>
            <w:top w:w="0" w:type="dxa"/>
            <w:left w:w="108" w:type="dxa"/>
            <w:bottom w:w="0" w:type="dxa"/>
            <w:right w:w="108" w:type="dxa"/>
          </w:tblCellMar>
        </w:tblPrEx>
        <w:trPr>
          <w:trHeight w:val="510" w:hRule="atLeast"/>
          <w:jc w:val="center"/>
        </w:trPr>
        <w:tc>
          <w:tcPr>
            <w:tcW w:w="3851" w:type="dxa"/>
            <w:tcBorders>
              <w:top w:val="single" w:color="FFFFFF" w:sz="4" w:space="0"/>
              <w:left w:val="single" w:color="8064A2" w:sz="8" w:space="0"/>
              <w:bottom w:val="single" w:color="8064A2" w:sz="8" w:space="0"/>
              <w:right w:val="single" w:color="8064A2" w:sz="8" w:space="0"/>
            </w:tcBorders>
            <w:shd w:val="clear" w:color="auto" w:fill="CCC1D9"/>
            <w:noWrap w:val="0"/>
            <w:vAlign w:val="center"/>
          </w:tcPr>
          <w:p>
            <w:pPr>
              <w:widowControl/>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采矿业</w:t>
            </w:r>
          </w:p>
        </w:tc>
        <w:tc>
          <w:tcPr>
            <w:tcW w:w="1769" w:type="dxa"/>
            <w:tcBorders>
              <w:top w:val="single" w:color="FFFFFF" w:sz="4"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7</w:t>
            </w:r>
          </w:p>
        </w:tc>
        <w:tc>
          <w:tcPr>
            <w:tcW w:w="2585" w:type="dxa"/>
            <w:tcBorders>
              <w:top w:val="single" w:color="FFFFFF" w:sz="4"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0.46</w:t>
            </w:r>
          </w:p>
        </w:tc>
      </w:tr>
      <w:tr>
        <w:tblPrEx>
          <w:tblBorders>
            <w:top w:val="single" w:color="CF7B79" w:sz="8" w:space="0"/>
            <w:left w:val="single" w:color="CF7B79" w:sz="8" w:space="0"/>
            <w:bottom w:val="single" w:color="CF7B79" w:sz="8" w:space="0"/>
            <w:right w:val="single" w:color="CF7B79" w:sz="8" w:space="0"/>
            <w:insideH w:val="single" w:color="CF7B79" w:sz="8" w:space="0"/>
            <w:insideV w:val="none" w:color="auto" w:sz="0" w:space="0"/>
          </w:tblBorders>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电力、热力、燃气及水生产和供应业</w:t>
            </w:r>
          </w:p>
        </w:tc>
        <w:tc>
          <w:tcPr>
            <w:tcW w:w="1769"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19</w:t>
            </w:r>
          </w:p>
        </w:tc>
        <w:tc>
          <w:tcPr>
            <w:tcW w:w="2585"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1.28</w:t>
            </w:r>
          </w:p>
        </w:tc>
      </w:tr>
      <w:tr>
        <w:tblPrEx>
          <w:tblBorders>
            <w:top w:val="single" w:color="CF7B79" w:sz="8" w:space="0"/>
            <w:left w:val="single" w:color="CF7B79" w:sz="8" w:space="0"/>
            <w:bottom w:val="single" w:color="CF7B79" w:sz="8" w:space="0"/>
            <w:right w:val="single" w:color="CF7B79" w:sz="8" w:space="0"/>
            <w:insideH w:val="single" w:color="CF7B79" w:sz="8" w:space="0"/>
            <w:insideV w:val="none" w:color="auto" w:sz="0" w:space="0"/>
          </w:tblBorders>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房地产业</w:t>
            </w:r>
          </w:p>
        </w:tc>
        <w:tc>
          <w:tcPr>
            <w:tcW w:w="1769"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58</w:t>
            </w:r>
          </w:p>
        </w:tc>
        <w:tc>
          <w:tcPr>
            <w:tcW w:w="2585"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3.81</w:t>
            </w:r>
          </w:p>
        </w:tc>
      </w:tr>
      <w:tr>
        <w:tblPrEx>
          <w:tblBorders>
            <w:top w:val="single" w:color="CF7B79" w:sz="8" w:space="0"/>
            <w:left w:val="single" w:color="CF7B79" w:sz="8" w:space="0"/>
            <w:bottom w:val="single" w:color="CF7B79" w:sz="8" w:space="0"/>
            <w:right w:val="single" w:color="CF7B79" w:sz="8" w:space="0"/>
            <w:insideH w:val="single" w:color="CF7B79" w:sz="8" w:space="0"/>
            <w:insideV w:val="none" w:color="auto" w:sz="0" w:space="0"/>
          </w:tblBorders>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公共管理、社会保障和社会组织</w:t>
            </w:r>
          </w:p>
        </w:tc>
        <w:tc>
          <w:tcPr>
            <w:tcW w:w="1769"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52</w:t>
            </w:r>
          </w:p>
        </w:tc>
        <w:tc>
          <w:tcPr>
            <w:tcW w:w="2585"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3.41</w:t>
            </w:r>
          </w:p>
        </w:tc>
      </w:tr>
      <w:tr>
        <w:tblPrEx>
          <w:tblBorders>
            <w:top w:val="single" w:color="CF7B79" w:sz="8" w:space="0"/>
            <w:left w:val="single" w:color="CF7B79" w:sz="8" w:space="0"/>
            <w:bottom w:val="single" w:color="CF7B79" w:sz="8" w:space="0"/>
            <w:right w:val="single" w:color="CF7B79" w:sz="8" w:space="0"/>
            <w:insideH w:val="single" w:color="CF7B79" w:sz="8" w:space="0"/>
            <w:insideV w:val="none" w:color="auto" w:sz="0" w:space="0"/>
          </w:tblBorders>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建筑业</w:t>
            </w:r>
          </w:p>
        </w:tc>
        <w:tc>
          <w:tcPr>
            <w:tcW w:w="1769"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157</w:t>
            </w:r>
          </w:p>
        </w:tc>
        <w:tc>
          <w:tcPr>
            <w:tcW w:w="2585"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10.31</w:t>
            </w:r>
          </w:p>
        </w:tc>
      </w:tr>
      <w:tr>
        <w:tblPrEx>
          <w:tblBorders>
            <w:top w:val="single" w:color="CF7B79" w:sz="8" w:space="0"/>
            <w:left w:val="single" w:color="CF7B79" w:sz="8" w:space="0"/>
            <w:bottom w:val="single" w:color="CF7B79" w:sz="8" w:space="0"/>
            <w:right w:val="single" w:color="CF7B79" w:sz="8" w:space="0"/>
            <w:insideH w:val="single" w:color="CF7B79" w:sz="8" w:space="0"/>
            <w:insideV w:val="none" w:color="auto" w:sz="0" w:space="0"/>
          </w:tblBorders>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交通运输、仓储和邮政业</w:t>
            </w:r>
          </w:p>
        </w:tc>
        <w:tc>
          <w:tcPr>
            <w:tcW w:w="1769"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26</w:t>
            </w:r>
          </w:p>
        </w:tc>
        <w:tc>
          <w:tcPr>
            <w:tcW w:w="2585"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1.71</w:t>
            </w:r>
          </w:p>
        </w:tc>
      </w:tr>
      <w:tr>
        <w:tblPrEx>
          <w:tblBorders>
            <w:top w:val="single" w:color="CF7B79" w:sz="8" w:space="0"/>
            <w:left w:val="single" w:color="CF7B79" w:sz="8" w:space="0"/>
            <w:bottom w:val="single" w:color="CF7B79" w:sz="8" w:space="0"/>
            <w:right w:val="single" w:color="CF7B79" w:sz="8" w:space="0"/>
            <w:insideH w:val="single" w:color="CF7B79" w:sz="8" w:space="0"/>
            <w:insideV w:val="none" w:color="auto" w:sz="0" w:space="0"/>
          </w:tblBorders>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教育</w:t>
            </w:r>
          </w:p>
        </w:tc>
        <w:tc>
          <w:tcPr>
            <w:tcW w:w="1769"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143</w:t>
            </w:r>
          </w:p>
        </w:tc>
        <w:tc>
          <w:tcPr>
            <w:tcW w:w="2585"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9.39</w:t>
            </w:r>
          </w:p>
        </w:tc>
      </w:tr>
      <w:tr>
        <w:tblPrEx>
          <w:tblBorders>
            <w:top w:val="single" w:color="CF7B79" w:sz="8" w:space="0"/>
            <w:left w:val="single" w:color="CF7B79" w:sz="8" w:space="0"/>
            <w:bottom w:val="single" w:color="CF7B79" w:sz="8" w:space="0"/>
            <w:right w:val="single" w:color="CF7B79" w:sz="8" w:space="0"/>
            <w:insideH w:val="single" w:color="CF7B79" w:sz="8" w:space="0"/>
            <w:insideV w:val="none" w:color="auto" w:sz="0" w:space="0"/>
          </w:tblBorders>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金融业</w:t>
            </w:r>
          </w:p>
        </w:tc>
        <w:tc>
          <w:tcPr>
            <w:tcW w:w="1769"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257</w:t>
            </w:r>
          </w:p>
        </w:tc>
        <w:tc>
          <w:tcPr>
            <w:tcW w:w="2585"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16.87</w:t>
            </w:r>
          </w:p>
        </w:tc>
      </w:tr>
      <w:tr>
        <w:tblPrEx>
          <w:tblBorders>
            <w:top w:val="single" w:color="CF7B79" w:sz="8" w:space="0"/>
            <w:left w:val="single" w:color="CF7B79" w:sz="8" w:space="0"/>
            <w:bottom w:val="single" w:color="CF7B79" w:sz="8" w:space="0"/>
            <w:right w:val="single" w:color="CF7B79" w:sz="8" w:space="0"/>
            <w:insideH w:val="single" w:color="CF7B79" w:sz="8" w:space="0"/>
            <w:insideV w:val="none" w:color="auto" w:sz="0" w:space="0"/>
          </w:tblBorders>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居民服务、修理和其他服务业</w:t>
            </w:r>
          </w:p>
        </w:tc>
        <w:tc>
          <w:tcPr>
            <w:tcW w:w="1769"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11</w:t>
            </w:r>
          </w:p>
        </w:tc>
        <w:tc>
          <w:tcPr>
            <w:tcW w:w="2585"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0.72</w:t>
            </w:r>
          </w:p>
        </w:tc>
      </w:tr>
      <w:tr>
        <w:tblPrEx>
          <w:tblBorders>
            <w:top w:val="single" w:color="CF7B79" w:sz="8" w:space="0"/>
            <w:left w:val="single" w:color="CF7B79" w:sz="8" w:space="0"/>
            <w:bottom w:val="single" w:color="CF7B79" w:sz="8" w:space="0"/>
            <w:right w:val="single" w:color="CF7B79" w:sz="8" w:space="0"/>
            <w:insideH w:val="single" w:color="CF7B79" w:sz="8" w:space="0"/>
            <w:insideV w:val="none" w:color="auto" w:sz="0" w:space="0"/>
          </w:tblBorders>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科学研究和技术服务业</w:t>
            </w:r>
          </w:p>
        </w:tc>
        <w:tc>
          <w:tcPr>
            <w:tcW w:w="1769"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28</w:t>
            </w:r>
          </w:p>
        </w:tc>
        <w:tc>
          <w:tcPr>
            <w:tcW w:w="2585"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1.84</w:t>
            </w:r>
          </w:p>
        </w:tc>
      </w:tr>
      <w:tr>
        <w:tblPrEx>
          <w:tblBorders>
            <w:top w:val="single" w:color="CF7B79" w:sz="8" w:space="0"/>
            <w:left w:val="single" w:color="CF7B79" w:sz="8" w:space="0"/>
            <w:bottom w:val="single" w:color="CF7B79" w:sz="8" w:space="0"/>
            <w:right w:val="single" w:color="CF7B79" w:sz="8" w:space="0"/>
            <w:insideH w:val="single" w:color="CF7B79" w:sz="8" w:space="0"/>
            <w:insideV w:val="none" w:color="auto" w:sz="0" w:space="0"/>
          </w:tblBorders>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农、林、牧、渔业</w:t>
            </w:r>
          </w:p>
        </w:tc>
        <w:tc>
          <w:tcPr>
            <w:tcW w:w="1769"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10</w:t>
            </w:r>
          </w:p>
        </w:tc>
        <w:tc>
          <w:tcPr>
            <w:tcW w:w="2585"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0.66</w:t>
            </w:r>
          </w:p>
        </w:tc>
      </w:tr>
      <w:tr>
        <w:tblPrEx>
          <w:tblBorders>
            <w:top w:val="single" w:color="CF7B79" w:sz="8" w:space="0"/>
            <w:left w:val="single" w:color="CF7B79" w:sz="8" w:space="0"/>
            <w:bottom w:val="single" w:color="CF7B79" w:sz="8" w:space="0"/>
            <w:right w:val="single" w:color="CF7B79" w:sz="8" w:space="0"/>
            <w:insideH w:val="single" w:color="CF7B79" w:sz="8" w:space="0"/>
            <w:insideV w:val="none" w:color="auto" w:sz="0" w:space="0"/>
          </w:tblBorders>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批发和零售业</w:t>
            </w:r>
          </w:p>
        </w:tc>
        <w:tc>
          <w:tcPr>
            <w:tcW w:w="1769"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214</w:t>
            </w:r>
          </w:p>
        </w:tc>
        <w:tc>
          <w:tcPr>
            <w:tcW w:w="2585"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14.05</w:t>
            </w:r>
          </w:p>
        </w:tc>
      </w:tr>
      <w:tr>
        <w:tblPrEx>
          <w:tblBorders>
            <w:top w:val="single" w:color="CF7B79" w:sz="8" w:space="0"/>
            <w:left w:val="single" w:color="CF7B79" w:sz="8" w:space="0"/>
            <w:bottom w:val="single" w:color="CF7B79" w:sz="8" w:space="0"/>
            <w:right w:val="single" w:color="CF7B79" w:sz="8" w:space="0"/>
            <w:insideH w:val="single" w:color="CF7B79" w:sz="8" w:space="0"/>
            <w:insideV w:val="none" w:color="auto" w:sz="0" w:space="0"/>
          </w:tblBorders>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rPr>
                <w:rFonts w:ascii="仿宋_GB2312" w:hAnsi="黑体" w:eastAsia="仿宋_GB2312" w:cs="仿宋"/>
                <w:b/>
                <w:bCs w:val="0"/>
                <w:color w:val="000000"/>
                <w:sz w:val="22"/>
              </w:rPr>
            </w:pPr>
            <w:r>
              <w:rPr>
                <w:rFonts w:hint="eastAsia" w:ascii="仿宋_GB2312" w:hAnsi="黑体" w:eastAsia="仿宋_GB2312" w:cs="仿宋"/>
                <w:b w:val="0"/>
                <w:bCs/>
                <w:color w:val="000000"/>
                <w:sz w:val="22"/>
              </w:rPr>
              <w:t>水利、环境和公共设施管理业</w:t>
            </w:r>
          </w:p>
        </w:tc>
        <w:tc>
          <w:tcPr>
            <w:tcW w:w="1769"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jc w:val="center"/>
              <w:rPr>
                <w:rFonts w:ascii="仿宋" w:hAnsi="仿宋" w:eastAsia="仿宋" w:cs="仿宋"/>
                <w:color w:val="000000"/>
                <w:sz w:val="22"/>
              </w:rPr>
            </w:pPr>
            <w:r>
              <w:rPr>
                <w:rFonts w:hint="eastAsia" w:ascii="仿宋" w:hAnsi="仿宋" w:eastAsia="仿宋" w:cs="仿宋"/>
                <w:color w:val="000000"/>
                <w:sz w:val="22"/>
              </w:rPr>
              <w:t>7</w:t>
            </w:r>
          </w:p>
        </w:tc>
        <w:tc>
          <w:tcPr>
            <w:tcW w:w="2585"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jc w:val="center"/>
              <w:rPr>
                <w:rFonts w:ascii="仿宋" w:hAnsi="仿宋" w:eastAsia="仿宋" w:cs="仿宋"/>
                <w:color w:val="000000"/>
                <w:sz w:val="22"/>
              </w:rPr>
            </w:pPr>
            <w:r>
              <w:rPr>
                <w:rFonts w:hint="eastAsia" w:ascii="仿宋" w:hAnsi="仿宋" w:eastAsia="仿宋" w:cs="仿宋"/>
                <w:color w:val="000000"/>
                <w:sz w:val="22"/>
              </w:rPr>
              <w:t>0.46</w:t>
            </w:r>
          </w:p>
        </w:tc>
      </w:tr>
      <w:tr>
        <w:tblPrEx>
          <w:tblBorders>
            <w:top w:val="single" w:color="CF7B79" w:sz="8" w:space="0"/>
            <w:left w:val="single" w:color="CF7B79" w:sz="8" w:space="0"/>
            <w:bottom w:val="single" w:color="CF7B79" w:sz="8" w:space="0"/>
            <w:right w:val="single" w:color="CF7B79" w:sz="8" w:space="0"/>
            <w:insideH w:val="single" w:color="CF7B79" w:sz="8" w:space="0"/>
            <w:insideV w:val="none" w:color="auto" w:sz="0" w:space="0"/>
          </w:tblBorders>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卫生和社会工作</w:t>
            </w:r>
          </w:p>
        </w:tc>
        <w:tc>
          <w:tcPr>
            <w:tcW w:w="1769"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9</w:t>
            </w:r>
          </w:p>
        </w:tc>
        <w:tc>
          <w:tcPr>
            <w:tcW w:w="2585"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0.59</w:t>
            </w:r>
          </w:p>
        </w:tc>
      </w:tr>
      <w:tr>
        <w:tblPrEx>
          <w:tblBorders>
            <w:top w:val="single" w:color="CF7B79" w:sz="8" w:space="0"/>
            <w:left w:val="single" w:color="CF7B79" w:sz="8" w:space="0"/>
            <w:bottom w:val="single" w:color="CF7B79" w:sz="8" w:space="0"/>
            <w:right w:val="single" w:color="CF7B79" w:sz="8" w:space="0"/>
            <w:insideH w:val="single" w:color="CF7B79" w:sz="8" w:space="0"/>
            <w:insideV w:val="none" w:color="auto" w:sz="0" w:space="0"/>
          </w:tblBorders>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文化、体育和娱乐业</w:t>
            </w:r>
          </w:p>
        </w:tc>
        <w:tc>
          <w:tcPr>
            <w:tcW w:w="1769"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28</w:t>
            </w:r>
          </w:p>
        </w:tc>
        <w:tc>
          <w:tcPr>
            <w:tcW w:w="2585"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1.84</w:t>
            </w:r>
          </w:p>
        </w:tc>
      </w:tr>
      <w:tr>
        <w:tblPrEx>
          <w:tblBorders>
            <w:top w:val="single" w:color="CF7B79" w:sz="8" w:space="0"/>
            <w:left w:val="single" w:color="CF7B79" w:sz="8" w:space="0"/>
            <w:bottom w:val="single" w:color="CF7B79" w:sz="8" w:space="0"/>
            <w:right w:val="single" w:color="CF7B79" w:sz="8" w:space="0"/>
            <w:insideH w:val="single" w:color="CF7B79" w:sz="8" w:space="0"/>
            <w:insideV w:val="none" w:color="auto" w:sz="0" w:space="0"/>
          </w:tblBorders>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信息传输、软件和信息技术服务业</w:t>
            </w:r>
          </w:p>
        </w:tc>
        <w:tc>
          <w:tcPr>
            <w:tcW w:w="1769"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145</w:t>
            </w:r>
          </w:p>
        </w:tc>
        <w:tc>
          <w:tcPr>
            <w:tcW w:w="2585"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9.52</w:t>
            </w:r>
          </w:p>
        </w:tc>
      </w:tr>
      <w:tr>
        <w:tblPrEx>
          <w:tblBorders>
            <w:top w:val="single" w:color="CF7B79" w:sz="8" w:space="0"/>
            <w:left w:val="single" w:color="CF7B79" w:sz="8" w:space="0"/>
            <w:bottom w:val="single" w:color="CF7B79" w:sz="8" w:space="0"/>
            <w:right w:val="single" w:color="CF7B79" w:sz="8" w:space="0"/>
            <w:insideH w:val="single" w:color="CF7B79" w:sz="8" w:space="0"/>
            <w:insideV w:val="none" w:color="auto" w:sz="0" w:space="0"/>
          </w:tblBorders>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制造业</w:t>
            </w:r>
          </w:p>
        </w:tc>
        <w:tc>
          <w:tcPr>
            <w:tcW w:w="1769"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114</w:t>
            </w:r>
          </w:p>
        </w:tc>
        <w:tc>
          <w:tcPr>
            <w:tcW w:w="2585"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7.49</w:t>
            </w:r>
          </w:p>
        </w:tc>
      </w:tr>
      <w:tr>
        <w:tblPrEx>
          <w:tblBorders>
            <w:top w:val="single" w:color="CF7B79" w:sz="8" w:space="0"/>
            <w:left w:val="single" w:color="CF7B79" w:sz="8" w:space="0"/>
            <w:bottom w:val="single" w:color="CF7B79" w:sz="8" w:space="0"/>
            <w:right w:val="single" w:color="CF7B79" w:sz="8" w:space="0"/>
            <w:insideH w:val="single" w:color="CF7B79" w:sz="8" w:space="0"/>
            <w:insideV w:val="none" w:color="auto" w:sz="0" w:space="0"/>
          </w:tblBorders>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住宿和餐饮业</w:t>
            </w:r>
          </w:p>
        </w:tc>
        <w:tc>
          <w:tcPr>
            <w:tcW w:w="1769"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19</w:t>
            </w:r>
          </w:p>
        </w:tc>
        <w:tc>
          <w:tcPr>
            <w:tcW w:w="2585"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1.25</w:t>
            </w:r>
          </w:p>
        </w:tc>
      </w:tr>
      <w:tr>
        <w:tblPrEx>
          <w:tblBorders>
            <w:top w:val="single" w:color="CF7B79" w:sz="8" w:space="0"/>
            <w:left w:val="single" w:color="CF7B79" w:sz="8" w:space="0"/>
            <w:bottom w:val="single" w:color="CF7B79" w:sz="8" w:space="0"/>
            <w:right w:val="single" w:color="CF7B79" w:sz="8" w:space="0"/>
            <w:insideH w:val="single" w:color="CF7B79" w:sz="8" w:space="0"/>
            <w:insideV w:val="none" w:color="auto" w:sz="0" w:space="0"/>
          </w:tblBorders>
          <w:tblCellMar>
            <w:top w:w="0" w:type="dxa"/>
            <w:left w:w="108" w:type="dxa"/>
            <w:bottom w:w="0" w:type="dxa"/>
            <w:right w:w="108" w:type="dxa"/>
          </w:tblCellMar>
        </w:tblPrEx>
        <w:trPr>
          <w:trHeight w:val="510" w:hRule="atLeast"/>
          <w:jc w:val="center"/>
        </w:trPr>
        <w:tc>
          <w:tcPr>
            <w:tcW w:w="3851"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rPr>
                <w:rFonts w:ascii="仿宋_GB2312" w:hAnsi="宋体" w:eastAsia="仿宋_GB2312" w:cs="宋体"/>
                <w:b w:val="0"/>
                <w:bCs/>
                <w:color w:val="000000"/>
                <w:kern w:val="0"/>
                <w:sz w:val="22"/>
              </w:rPr>
            </w:pPr>
            <w:r>
              <w:rPr>
                <w:rFonts w:hint="eastAsia" w:ascii="仿宋_GB2312" w:hAnsi="宋体" w:eastAsia="仿宋_GB2312" w:cs="宋体"/>
                <w:b w:val="0"/>
                <w:bCs/>
                <w:color w:val="000000"/>
                <w:kern w:val="0"/>
                <w:sz w:val="22"/>
              </w:rPr>
              <w:t>租赁和商务服务业</w:t>
            </w:r>
          </w:p>
        </w:tc>
        <w:tc>
          <w:tcPr>
            <w:tcW w:w="1769"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260</w:t>
            </w:r>
          </w:p>
        </w:tc>
        <w:tc>
          <w:tcPr>
            <w:tcW w:w="2585" w:type="dxa"/>
            <w:tcBorders>
              <w:top w:val="single" w:color="8064A2" w:sz="8" w:space="0"/>
              <w:left w:val="single" w:color="8064A2" w:sz="8" w:space="0"/>
              <w:bottom w:val="single" w:color="8064A2" w:sz="8" w:space="0"/>
              <w:right w:val="single" w:color="8064A2" w:sz="8" w:space="0"/>
            </w:tcBorders>
            <w:shd w:val="clear" w:color="auto" w:fill="CCC1D9"/>
            <w:noWrap w:val="0"/>
            <w:vAlign w:val="center"/>
          </w:tcPr>
          <w:p>
            <w:pPr>
              <w:widowControl/>
              <w:jc w:val="center"/>
              <w:rPr>
                <w:rFonts w:ascii="仿宋_GB2312" w:hAnsi="宋体" w:eastAsia="仿宋_GB2312" w:cs="宋体"/>
                <w:color w:val="000000"/>
                <w:kern w:val="0"/>
                <w:sz w:val="22"/>
              </w:rPr>
            </w:pPr>
            <w:r>
              <w:rPr>
                <w:rFonts w:hint="eastAsia" w:ascii="仿宋_GB2312" w:hAnsi="宋体" w:eastAsia="仿宋_GB2312" w:cs="宋体"/>
                <w:color w:val="000000"/>
                <w:kern w:val="0"/>
                <w:sz w:val="22"/>
              </w:rPr>
              <w:t>17.07</w:t>
            </w:r>
          </w:p>
        </w:tc>
      </w:tr>
    </w:tbl>
    <w:p>
      <w:pPr>
        <w:spacing w:beforeLines="100"/>
        <w:jc w:val="center"/>
        <w:rPr>
          <w:rFonts w:ascii="仿宋_GB2312" w:eastAsia="仿宋_GB2312"/>
          <w:b/>
          <w:sz w:val="30"/>
          <w:szCs w:val="30"/>
        </w:rPr>
      </w:pPr>
      <w:r>
        <w:rPr>
          <w:rFonts w:hint="eastAsia" w:ascii="仿宋_GB2312" w:eastAsia="仿宋_GB2312"/>
          <w:b/>
          <w:sz w:val="30"/>
          <w:szCs w:val="30"/>
        </w:rPr>
        <w:t xml:space="preserve">图2-2  </w:t>
      </w:r>
      <w:r>
        <w:rPr>
          <w:rFonts w:ascii="仿宋_GB2312" w:eastAsia="仿宋_GB2312"/>
          <w:b/>
          <w:sz w:val="30"/>
          <w:szCs w:val="30"/>
        </w:rPr>
        <w:t>201</w:t>
      </w:r>
      <w:r>
        <w:rPr>
          <w:rFonts w:hint="eastAsia" w:ascii="仿宋_GB2312" w:eastAsia="仿宋_GB2312"/>
          <w:b/>
          <w:sz w:val="30"/>
          <w:szCs w:val="30"/>
        </w:rPr>
        <w:t>9届毕业生就业单位行业分布图</w:t>
      </w:r>
    </w:p>
    <w:p>
      <w:pPr>
        <w:jc w:val="center"/>
        <w:rPr>
          <w:rFonts w:ascii="仿宋_GB2312" w:eastAsia="仿宋_GB2312"/>
          <w:b/>
          <w:sz w:val="28"/>
          <w:szCs w:val="28"/>
        </w:rPr>
      </w:pPr>
      <w:r>
        <w:rPr>
          <w:rFonts w:ascii="仿宋_GB2312" w:eastAsia="仿宋_GB2312"/>
          <w:b/>
          <w:sz w:val="28"/>
          <w:szCs w:val="28"/>
        </w:rPr>
        <w:drawing>
          <wp:inline distT="0" distB="0" distL="114300" distR="114300">
            <wp:extent cx="5276850" cy="2800350"/>
            <wp:effectExtent l="4445" t="4445" r="14605" b="14605"/>
            <wp:docPr id="7" name="图表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4"/>
        <w:spacing w:before="0" w:after="0"/>
        <w:rPr>
          <w:rFonts w:ascii="仿宋_GB2312" w:eastAsia="仿宋_GB2312"/>
          <w:color w:val="1F497D"/>
          <w:sz w:val="30"/>
          <w:szCs w:val="30"/>
        </w:rPr>
      </w:pPr>
      <w:bookmarkStart w:id="46" w:name="_Toc21820"/>
      <w:bookmarkStart w:id="47" w:name="_Toc22781"/>
      <w:r>
        <w:rPr>
          <w:rFonts w:hint="eastAsia" w:ascii="仿宋_GB2312" w:eastAsia="仿宋_GB2312"/>
          <w:color w:val="1F497D"/>
          <w:sz w:val="30"/>
          <w:szCs w:val="30"/>
        </w:rPr>
        <w:t>2.3.3 单位性质</w:t>
      </w:r>
      <w:bookmarkEnd w:id="46"/>
      <w:bookmarkEnd w:id="47"/>
    </w:p>
    <w:p>
      <w:pPr>
        <w:ind w:firstLine="560" w:firstLineChars="200"/>
        <w:jc w:val="left"/>
        <w:rPr>
          <w:rFonts w:ascii="仿宋_GB2312" w:eastAsia="仿宋_GB2312"/>
          <w:sz w:val="28"/>
          <w:szCs w:val="28"/>
        </w:rPr>
      </w:pPr>
      <w:r>
        <w:rPr>
          <w:rFonts w:hint="eastAsia" w:ascii="仿宋_GB2312" w:eastAsia="仿宋_GB2312"/>
          <w:sz w:val="28"/>
          <w:szCs w:val="28"/>
        </w:rPr>
        <w:t>近年来，随着学校就业引导工作的深入开展，学生就业多元化发展的趋势越来越明显，进入服务性行业、股份制企业、上市公司、</w:t>
      </w:r>
      <w:r>
        <w:rPr>
          <w:rFonts w:hint="eastAsia" w:ascii="仿宋_GB2312" w:hAnsi="Times New Roman" w:eastAsia="仿宋_GB2312"/>
          <w:bCs/>
          <w:color w:val="000000"/>
          <w:sz w:val="28"/>
          <w:szCs w:val="28"/>
        </w:rPr>
        <w:t>民营企业、</w:t>
      </w:r>
      <w:r>
        <w:rPr>
          <w:rFonts w:hint="eastAsia" w:ascii="仿宋_GB2312" w:eastAsia="仿宋_GB2312"/>
          <w:sz w:val="28"/>
          <w:szCs w:val="28"/>
        </w:rPr>
        <w:t>国有大中型企业、银行等企事业单位毕业生人数比例以及出国继续深造人数均有所提升。其中，签约国有企业总人数330人，占</w:t>
      </w:r>
      <w:r>
        <w:rPr>
          <w:rFonts w:ascii="仿宋_GB2312" w:eastAsia="仿宋_GB2312"/>
          <w:sz w:val="28"/>
          <w:szCs w:val="28"/>
        </w:rPr>
        <w:t>1</w:t>
      </w:r>
      <w:r>
        <w:rPr>
          <w:rFonts w:hint="eastAsia" w:ascii="仿宋_GB2312" w:eastAsia="仿宋_GB2312"/>
          <w:sz w:val="28"/>
          <w:szCs w:val="28"/>
        </w:rPr>
        <w:t>8.32</w:t>
      </w:r>
      <w:r>
        <w:rPr>
          <w:rFonts w:ascii="仿宋_GB2312" w:eastAsia="仿宋_GB2312"/>
          <w:sz w:val="28"/>
          <w:szCs w:val="28"/>
        </w:rPr>
        <w:t>%</w:t>
      </w:r>
      <w:r>
        <w:rPr>
          <w:rFonts w:hint="eastAsia" w:ascii="仿宋_GB2312" w:eastAsia="仿宋_GB2312"/>
          <w:sz w:val="28"/>
          <w:szCs w:val="28"/>
        </w:rPr>
        <w:t>，其他企业总人数达1116人，占61.97</w:t>
      </w:r>
      <w:r>
        <w:rPr>
          <w:rFonts w:ascii="仿宋_GB2312" w:eastAsia="仿宋_GB2312"/>
          <w:sz w:val="28"/>
          <w:szCs w:val="28"/>
        </w:rPr>
        <w:t>%</w:t>
      </w:r>
      <w:r>
        <w:rPr>
          <w:rFonts w:hint="eastAsia" w:ascii="仿宋_GB2312" w:eastAsia="仿宋_GB2312"/>
          <w:sz w:val="28"/>
          <w:szCs w:val="28"/>
        </w:rPr>
        <w:t>，机关40人，占2.22</w:t>
      </w:r>
      <w:r>
        <w:rPr>
          <w:rFonts w:ascii="仿宋_GB2312" w:eastAsia="仿宋_GB2312"/>
          <w:sz w:val="28"/>
          <w:szCs w:val="28"/>
        </w:rPr>
        <w:t>%</w:t>
      </w:r>
      <w:r>
        <w:rPr>
          <w:rFonts w:hint="eastAsia" w:ascii="仿宋_GB2312" w:eastAsia="仿宋_GB2312"/>
          <w:sz w:val="28"/>
          <w:szCs w:val="28"/>
        </w:rPr>
        <w:t>，具体人数分布见图2-3。</w:t>
      </w:r>
    </w:p>
    <w:p>
      <w:pPr>
        <w:ind w:firstLine="1656" w:firstLineChars="550"/>
        <w:rPr>
          <w:rFonts w:ascii="仿宋_GB2312" w:eastAsia="仿宋_GB2312"/>
          <w:b/>
          <w:sz w:val="30"/>
          <w:szCs w:val="30"/>
        </w:rPr>
      </w:pPr>
      <w:r>
        <w:rPr>
          <w:rFonts w:hint="eastAsia" w:ascii="仿宋_GB2312" w:eastAsia="仿宋_GB2312"/>
          <w:b/>
          <w:sz w:val="30"/>
          <w:szCs w:val="30"/>
        </w:rPr>
        <w:t>图2-3   2019届毕业生签约单位性质分布图</w:t>
      </w:r>
    </w:p>
    <w:p>
      <w:pPr>
        <w:jc w:val="center"/>
        <w:rPr>
          <w:rFonts w:ascii="仿宋_GB2312" w:eastAsia="仿宋_GB2312"/>
          <w:b/>
          <w:sz w:val="28"/>
          <w:szCs w:val="28"/>
        </w:rPr>
      </w:pPr>
      <w:r>
        <w:rPr>
          <w:rFonts w:ascii="仿宋_GB2312" w:eastAsia="仿宋_GB2312"/>
          <w:b/>
          <w:sz w:val="28"/>
          <w:szCs w:val="28"/>
        </w:rPr>
        <w:drawing>
          <wp:inline distT="0" distB="0" distL="114300" distR="114300">
            <wp:extent cx="5181600" cy="3238500"/>
            <wp:effectExtent l="4445" t="4445" r="14605" b="14605"/>
            <wp:docPr id="8" name="图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4"/>
        <w:spacing w:before="0" w:after="0"/>
        <w:rPr>
          <w:rFonts w:ascii="仿宋_GB2312" w:eastAsia="仿宋_GB2312"/>
          <w:color w:val="1F497D"/>
          <w:sz w:val="30"/>
          <w:szCs w:val="30"/>
        </w:rPr>
      </w:pPr>
      <w:bookmarkStart w:id="48" w:name="_Toc31467"/>
      <w:bookmarkStart w:id="49" w:name="_Toc31203"/>
      <w:r>
        <w:rPr>
          <w:rFonts w:hint="eastAsia" w:ascii="仿宋_GB2312" w:eastAsia="仿宋_GB2312"/>
          <w:color w:val="1F497D"/>
          <w:sz w:val="30"/>
          <w:szCs w:val="30"/>
        </w:rPr>
        <w:t>2.3.4 升学分析</w:t>
      </w:r>
      <w:bookmarkEnd w:id="48"/>
      <w:bookmarkEnd w:id="49"/>
    </w:p>
    <w:p>
      <w:pPr>
        <w:ind w:firstLine="560" w:firstLineChars="200"/>
        <w:rPr>
          <w:rFonts w:ascii="仿宋_GB2312" w:eastAsia="仿宋_GB2312"/>
          <w:color w:val="000000"/>
          <w:sz w:val="28"/>
          <w:szCs w:val="28"/>
        </w:rPr>
      </w:pPr>
      <w:r>
        <w:rPr>
          <w:rFonts w:hint="eastAsia" w:ascii="仿宋_GB2312" w:eastAsia="仿宋_GB2312"/>
          <w:color w:val="000000"/>
          <w:sz w:val="28"/>
          <w:szCs w:val="28"/>
        </w:rPr>
        <w:t>近几年，学校不断加强与世界各地大学合作培养人才的深度与广度，注重内涵建设的国际化人才培养，目前已经与世界</w:t>
      </w:r>
      <w:r>
        <w:rPr>
          <w:rFonts w:ascii="仿宋_GB2312" w:eastAsia="仿宋_GB2312"/>
          <w:color w:val="000000"/>
          <w:sz w:val="28"/>
          <w:szCs w:val="28"/>
        </w:rPr>
        <w:t xml:space="preserve"> 10</w:t>
      </w:r>
      <w:r>
        <w:rPr>
          <w:rFonts w:hint="eastAsia" w:ascii="仿宋_GB2312" w:eastAsia="仿宋_GB2312"/>
          <w:color w:val="000000"/>
          <w:sz w:val="28"/>
          <w:szCs w:val="28"/>
        </w:rPr>
        <w:t>多所大学建立合作关系，使学生接受前沿的国际视野和多元的文化熏陶。毕业生继续深造率和出国、出境人数逐年上升，</w:t>
      </w:r>
      <w:r>
        <w:rPr>
          <w:rFonts w:ascii="仿宋_GB2312" w:eastAsia="仿宋_GB2312"/>
          <w:color w:val="000000"/>
          <w:sz w:val="28"/>
          <w:szCs w:val="28"/>
        </w:rPr>
        <w:t>201</w:t>
      </w:r>
      <w:r>
        <w:rPr>
          <w:rFonts w:hint="eastAsia" w:ascii="仿宋_GB2312" w:eastAsia="仿宋_GB2312"/>
          <w:color w:val="000000"/>
          <w:sz w:val="28"/>
          <w:szCs w:val="28"/>
        </w:rPr>
        <w:t>9届本科生毕业生总人数2411人，考取国内研究生181人，深造率达到了</w:t>
      </w:r>
      <w:r>
        <w:rPr>
          <w:rFonts w:ascii="仿宋_GB2312" w:eastAsia="仿宋_GB2312"/>
          <w:color w:val="000000"/>
          <w:sz w:val="28"/>
          <w:szCs w:val="28"/>
        </w:rPr>
        <w:t xml:space="preserve"> </w:t>
      </w:r>
      <w:r>
        <w:rPr>
          <w:rFonts w:hint="eastAsia" w:ascii="仿宋_GB2312" w:eastAsia="仿宋_GB2312"/>
          <w:color w:val="000000"/>
          <w:sz w:val="28"/>
          <w:szCs w:val="28"/>
        </w:rPr>
        <w:t>7.51</w:t>
      </w:r>
      <w:r>
        <w:rPr>
          <w:rFonts w:ascii="仿宋_GB2312" w:eastAsia="仿宋_GB2312"/>
          <w:color w:val="000000"/>
          <w:sz w:val="28"/>
          <w:szCs w:val="28"/>
        </w:rPr>
        <w:t>%</w:t>
      </w:r>
      <w:r>
        <w:rPr>
          <w:rFonts w:hint="eastAsia" w:ascii="仿宋_GB2312" w:eastAsia="仿宋_GB2312"/>
          <w:color w:val="000000"/>
          <w:sz w:val="28"/>
          <w:szCs w:val="28"/>
        </w:rPr>
        <w:t>，出国（境）升学52人，占毕业生总人的2.16</w:t>
      </w:r>
      <w:r>
        <w:rPr>
          <w:rFonts w:ascii="仿宋_GB2312" w:eastAsia="仿宋_GB2312"/>
          <w:color w:val="000000"/>
          <w:sz w:val="28"/>
          <w:szCs w:val="28"/>
        </w:rPr>
        <w:t>%</w:t>
      </w:r>
      <w:r>
        <w:rPr>
          <w:rFonts w:hint="eastAsia" w:ascii="仿宋_GB2312" w:eastAsia="仿宋_GB2312"/>
          <w:color w:val="000000"/>
          <w:sz w:val="28"/>
          <w:szCs w:val="28"/>
        </w:rPr>
        <w:t>。</w:t>
      </w:r>
    </w:p>
    <w:p>
      <w:pPr>
        <w:pStyle w:val="43"/>
        <w:ind w:firstLine="0" w:firstLineChars="0"/>
        <w:outlineLvl w:val="2"/>
        <w:rPr>
          <w:rFonts w:ascii="仿宋_GB2312" w:eastAsia="仿宋_GB2312"/>
          <w:b/>
          <w:color w:val="1F497D"/>
          <w:sz w:val="30"/>
          <w:szCs w:val="30"/>
        </w:rPr>
      </w:pPr>
      <w:bookmarkStart w:id="50" w:name="_Toc23393"/>
      <w:r>
        <w:rPr>
          <w:rFonts w:hint="eastAsia" w:ascii="仿宋_GB2312" w:eastAsia="仿宋_GB2312"/>
          <w:b/>
          <w:color w:val="1F497D"/>
          <w:sz w:val="30"/>
          <w:szCs w:val="30"/>
        </w:rPr>
        <w:t>2.3.5 国内外升学情况</w:t>
      </w:r>
      <w:bookmarkEnd w:id="50"/>
    </w:p>
    <w:p>
      <w:pPr>
        <w:ind w:firstLine="560" w:firstLineChars="200"/>
        <w:rPr>
          <w:rFonts w:ascii="仿宋_GB2312" w:eastAsia="仿宋_GB2312"/>
          <w:bCs/>
          <w:color w:val="FFFFFF"/>
          <w:kern w:val="0"/>
          <w:sz w:val="22"/>
        </w:rPr>
      </w:pPr>
      <w:r>
        <w:rPr>
          <w:rFonts w:ascii="仿宋_GB2312" w:eastAsia="仿宋_GB2312"/>
          <w:color w:val="000000"/>
          <w:sz w:val="28"/>
          <w:szCs w:val="28"/>
        </w:rPr>
        <w:t>201</w:t>
      </w:r>
      <w:r>
        <w:rPr>
          <w:rFonts w:hint="eastAsia" w:ascii="仿宋_GB2312" w:eastAsia="仿宋_GB2312"/>
          <w:color w:val="000000"/>
          <w:sz w:val="28"/>
          <w:szCs w:val="28"/>
        </w:rPr>
        <w:t>9届本科生继续深造国内升学181人，占升学总人数的77.68</w:t>
      </w:r>
      <w:r>
        <w:rPr>
          <w:rFonts w:ascii="仿宋_GB2312" w:eastAsia="仿宋_GB2312"/>
          <w:color w:val="000000"/>
          <w:sz w:val="28"/>
          <w:szCs w:val="28"/>
        </w:rPr>
        <w:t>%</w:t>
      </w:r>
      <w:r>
        <w:rPr>
          <w:rFonts w:hint="eastAsia" w:ascii="仿宋_GB2312" w:eastAsia="仿宋_GB2312"/>
          <w:color w:val="000000"/>
          <w:sz w:val="28"/>
          <w:szCs w:val="28"/>
        </w:rPr>
        <w:t>，出国（境）升学52人，占升学总人数的22.32%，具体情况详见图2-4。</w:t>
      </w:r>
    </w:p>
    <w:p>
      <w:pPr>
        <w:jc w:val="center"/>
        <w:rPr>
          <w:rFonts w:ascii="仿宋_GB2312" w:eastAsia="仿宋_GB2312"/>
          <w:b/>
          <w:color w:val="000000"/>
          <w:sz w:val="30"/>
          <w:szCs w:val="30"/>
        </w:rPr>
      </w:pPr>
      <w:r>
        <w:rPr>
          <w:rFonts w:hint="eastAsia" w:ascii="仿宋_GB2312" w:eastAsia="仿宋_GB2312"/>
          <w:b/>
          <w:color w:val="000000"/>
          <w:sz w:val="30"/>
          <w:szCs w:val="30"/>
        </w:rPr>
        <w:t>图</w:t>
      </w:r>
      <w:r>
        <w:rPr>
          <w:rFonts w:ascii="仿宋_GB2312" w:eastAsia="仿宋_GB2312"/>
          <w:b/>
          <w:color w:val="000000"/>
          <w:sz w:val="30"/>
          <w:szCs w:val="30"/>
        </w:rPr>
        <w:t>2-</w:t>
      </w:r>
      <w:r>
        <w:rPr>
          <w:rFonts w:hint="eastAsia" w:ascii="仿宋_GB2312" w:eastAsia="仿宋_GB2312"/>
          <w:b/>
          <w:color w:val="000000"/>
          <w:sz w:val="30"/>
          <w:szCs w:val="30"/>
        </w:rPr>
        <w:t>4  2019届毕业生国内外升学对比图</w:t>
      </w:r>
    </w:p>
    <w:p>
      <w:pPr>
        <w:rPr>
          <w:rFonts w:ascii="仿宋_GB2312" w:eastAsia="仿宋_GB2312"/>
          <w:b/>
          <w:color w:val="000000"/>
          <w:sz w:val="28"/>
          <w:szCs w:val="28"/>
        </w:rPr>
      </w:pPr>
      <w:r>
        <w:rPr>
          <w:rFonts w:ascii="仿宋_GB2312" w:eastAsia="仿宋_GB2312"/>
          <w:b/>
          <w:color w:val="000000"/>
          <w:sz w:val="28"/>
          <w:szCs w:val="28"/>
        </w:rPr>
        <w:drawing>
          <wp:inline distT="0" distB="0" distL="114300" distR="114300">
            <wp:extent cx="5162550" cy="2743200"/>
            <wp:effectExtent l="4445" t="4445" r="14605" b="14605"/>
            <wp:docPr id="9" name="图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4"/>
        <w:spacing w:before="0" w:after="0"/>
        <w:rPr>
          <w:rFonts w:ascii="仿宋_GB2312" w:eastAsia="仿宋_GB2312"/>
          <w:color w:val="1F497D"/>
          <w:sz w:val="30"/>
          <w:szCs w:val="30"/>
        </w:rPr>
      </w:pPr>
      <w:bookmarkStart w:id="51" w:name="_Toc15066"/>
      <w:bookmarkStart w:id="52" w:name="_Toc3541"/>
      <w:bookmarkStart w:id="53" w:name="_Toc12868"/>
      <w:r>
        <w:rPr>
          <w:rFonts w:hint="eastAsia" w:ascii="仿宋_GB2312" w:eastAsia="仿宋_GB2312"/>
          <w:color w:val="1F497D"/>
          <w:sz w:val="30"/>
          <w:szCs w:val="30"/>
        </w:rPr>
        <w:t>2.3.6 重点流向院校</w:t>
      </w:r>
      <w:bookmarkEnd w:id="51"/>
      <w:bookmarkEnd w:id="52"/>
      <w:bookmarkEnd w:id="53"/>
    </w:p>
    <w:p>
      <w:pPr>
        <w:ind w:firstLine="560" w:firstLineChars="200"/>
        <w:rPr>
          <w:rFonts w:ascii="仿宋_GB2312" w:eastAsia="仿宋_GB2312"/>
          <w:color w:val="000000"/>
          <w:sz w:val="28"/>
          <w:szCs w:val="28"/>
        </w:rPr>
      </w:pPr>
      <w:r>
        <w:rPr>
          <w:rFonts w:hint="eastAsia" w:ascii="仿宋_GB2312" w:eastAsia="仿宋_GB2312"/>
          <w:color w:val="000000"/>
          <w:sz w:val="28"/>
          <w:szCs w:val="28"/>
        </w:rPr>
        <w:t>（</w:t>
      </w:r>
      <w:r>
        <w:rPr>
          <w:rFonts w:ascii="仿宋_GB2312" w:eastAsia="仿宋_GB2312"/>
          <w:color w:val="000000"/>
          <w:sz w:val="28"/>
          <w:szCs w:val="28"/>
        </w:rPr>
        <w:t>1</w:t>
      </w:r>
      <w:r>
        <w:rPr>
          <w:rFonts w:hint="eastAsia" w:ascii="仿宋_GB2312" w:eastAsia="仿宋_GB2312"/>
          <w:color w:val="000000"/>
          <w:sz w:val="28"/>
          <w:szCs w:val="28"/>
        </w:rPr>
        <w:t>）国内升学</w:t>
      </w:r>
    </w:p>
    <w:p>
      <w:pPr>
        <w:ind w:firstLine="560" w:firstLineChars="200"/>
        <w:rPr>
          <w:rFonts w:ascii="仿宋_GB2312" w:eastAsia="仿宋_GB2312"/>
          <w:color w:val="000000"/>
          <w:sz w:val="28"/>
          <w:szCs w:val="28"/>
        </w:rPr>
      </w:pPr>
      <w:r>
        <w:rPr>
          <w:rFonts w:hint="eastAsia" w:ascii="仿宋_GB2312" w:eastAsia="仿宋_GB2312"/>
          <w:color w:val="000000"/>
          <w:sz w:val="28"/>
          <w:szCs w:val="28"/>
        </w:rPr>
        <w:t>我校</w:t>
      </w:r>
      <w:r>
        <w:rPr>
          <w:rFonts w:ascii="仿宋_GB2312" w:eastAsia="仿宋_GB2312"/>
          <w:color w:val="000000"/>
          <w:sz w:val="28"/>
          <w:szCs w:val="28"/>
        </w:rPr>
        <w:t xml:space="preserve"> 201</w:t>
      </w:r>
      <w:r>
        <w:rPr>
          <w:rFonts w:hint="eastAsia" w:ascii="仿宋_GB2312" w:eastAsia="仿宋_GB2312"/>
          <w:color w:val="000000"/>
          <w:sz w:val="28"/>
          <w:szCs w:val="28"/>
        </w:rPr>
        <w:t>9届毕业生中选择国内升学的学生共有</w:t>
      </w:r>
      <w:r>
        <w:rPr>
          <w:rFonts w:ascii="仿宋_GB2312" w:eastAsia="仿宋_GB2312"/>
          <w:color w:val="000000"/>
          <w:sz w:val="28"/>
          <w:szCs w:val="28"/>
        </w:rPr>
        <w:t xml:space="preserve"> 1</w:t>
      </w:r>
      <w:r>
        <w:rPr>
          <w:rFonts w:hint="eastAsia" w:ascii="仿宋_GB2312" w:eastAsia="仿宋_GB2312"/>
          <w:color w:val="000000"/>
          <w:sz w:val="28"/>
          <w:szCs w:val="28"/>
        </w:rPr>
        <w:t>81人，绝大多数选择省内高校，具体情况详见表</w:t>
      </w:r>
      <w:r>
        <w:rPr>
          <w:rFonts w:ascii="仿宋_GB2312" w:eastAsia="仿宋_GB2312"/>
          <w:color w:val="000000"/>
          <w:sz w:val="28"/>
          <w:szCs w:val="28"/>
        </w:rPr>
        <w:t>2-</w:t>
      </w:r>
      <w:r>
        <w:rPr>
          <w:rFonts w:hint="eastAsia" w:ascii="仿宋_GB2312" w:eastAsia="仿宋_GB2312"/>
          <w:color w:val="000000"/>
          <w:sz w:val="28"/>
          <w:szCs w:val="28"/>
        </w:rPr>
        <w:t>6。</w:t>
      </w:r>
    </w:p>
    <w:p>
      <w:pPr>
        <w:jc w:val="center"/>
        <w:rPr>
          <w:rFonts w:ascii="仿宋_GB2312" w:eastAsia="仿宋_GB2312"/>
          <w:b/>
          <w:color w:val="000000"/>
          <w:sz w:val="30"/>
          <w:szCs w:val="30"/>
        </w:rPr>
      </w:pPr>
      <w:r>
        <w:rPr>
          <w:rFonts w:hint="eastAsia" w:ascii="仿宋_GB2312" w:eastAsia="仿宋_GB2312"/>
          <w:b/>
          <w:color w:val="000000"/>
          <w:sz w:val="30"/>
          <w:szCs w:val="30"/>
        </w:rPr>
        <w:t>表</w:t>
      </w:r>
      <w:r>
        <w:rPr>
          <w:rFonts w:ascii="仿宋_GB2312" w:eastAsia="仿宋_GB2312"/>
          <w:b/>
          <w:color w:val="000000"/>
          <w:sz w:val="30"/>
          <w:szCs w:val="30"/>
        </w:rPr>
        <w:t>2-</w:t>
      </w:r>
      <w:r>
        <w:rPr>
          <w:rFonts w:hint="eastAsia" w:ascii="仿宋_GB2312" w:eastAsia="仿宋_GB2312"/>
          <w:b/>
          <w:color w:val="000000"/>
          <w:sz w:val="30"/>
          <w:szCs w:val="30"/>
        </w:rPr>
        <w:t xml:space="preserve">6  </w:t>
      </w:r>
      <w:r>
        <w:rPr>
          <w:rFonts w:ascii="仿宋_GB2312" w:eastAsia="仿宋_GB2312"/>
          <w:b/>
          <w:color w:val="000000"/>
          <w:sz w:val="30"/>
          <w:szCs w:val="30"/>
        </w:rPr>
        <w:t>201</w:t>
      </w:r>
      <w:r>
        <w:rPr>
          <w:rFonts w:hint="eastAsia" w:ascii="仿宋_GB2312" w:eastAsia="仿宋_GB2312"/>
          <w:b/>
          <w:color w:val="000000"/>
          <w:sz w:val="30"/>
          <w:szCs w:val="30"/>
        </w:rPr>
        <w:t>9届毕业生国内升学主要流向院校统计表</w:t>
      </w:r>
    </w:p>
    <w:tbl>
      <w:tblPr>
        <w:tblStyle w:val="21"/>
        <w:tblW w:w="8391" w:type="dxa"/>
        <w:tblInd w:w="0" w:type="dxa"/>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fixed"/>
        <w:tblCellMar>
          <w:top w:w="0" w:type="dxa"/>
          <w:left w:w="108" w:type="dxa"/>
          <w:bottom w:w="0" w:type="dxa"/>
          <w:right w:w="108" w:type="dxa"/>
        </w:tblCellMar>
      </w:tblPr>
      <w:tblGrid>
        <w:gridCol w:w="2573"/>
        <w:gridCol w:w="1622"/>
        <w:gridCol w:w="2591"/>
        <w:gridCol w:w="1605"/>
      </w:tblGrid>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658" w:hRule="exact"/>
          <w:tblHeader/>
        </w:trPr>
        <w:tc>
          <w:tcPr>
            <w:tcW w:w="2573" w:type="dxa"/>
            <w:tcBorders>
              <w:top w:val="single" w:color="C0504D" w:sz="8" w:space="0"/>
              <w:left w:val="single" w:color="C0504D" w:sz="8" w:space="0"/>
              <w:bottom w:val="single" w:color="C0504D" w:sz="18" w:space="0"/>
              <w:right w:val="single" w:color="auto" w:sz="8" w:space="0"/>
            </w:tcBorders>
            <w:shd w:val="clear" w:color="auto" w:fill="E5B8B7"/>
            <w:noWrap w:val="0"/>
            <w:vAlign w:val="center"/>
          </w:tcPr>
          <w:p>
            <w:pPr>
              <w:widowControl/>
              <w:spacing w:before="0" w:after="0" w:line="240" w:lineRule="auto"/>
              <w:jc w:val="center"/>
              <w:rPr>
                <w:rFonts w:ascii="黑体" w:hAnsi="黑体" w:eastAsia="黑体" w:cs="黑体"/>
                <w:b/>
                <w:bCs/>
                <w:kern w:val="0"/>
                <w:sz w:val="28"/>
                <w:szCs w:val="28"/>
              </w:rPr>
            </w:pPr>
            <w:r>
              <w:rPr>
                <w:rFonts w:hint="eastAsia" w:ascii="黑体" w:hAnsi="黑体" w:eastAsia="黑体" w:cs="黑体"/>
                <w:b/>
                <w:bCs/>
                <w:kern w:val="0"/>
                <w:sz w:val="28"/>
                <w:szCs w:val="28"/>
              </w:rPr>
              <w:t>录取学校</w:t>
            </w:r>
          </w:p>
        </w:tc>
        <w:tc>
          <w:tcPr>
            <w:tcW w:w="1622" w:type="dxa"/>
            <w:tcBorders>
              <w:top w:val="single" w:color="C0504D" w:sz="8" w:space="0"/>
              <w:bottom w:val="single" w:color="C0504D" w:sz="18" w:space="0"/>
              <w:right w:val="single" w:color="auto" w:sz="8" w:space="0"/>
            </w:tcBorders>
            <w:shd w:val="clear" w:color="auto" w:fill="E5B8B7"/>
            <w:noWrap w:val="0"/>
            <w:vAlign w:val="center"/>
          </w:tcPr>
          <w:p>
            <w:pPr>
              <w:widowControl/>
              <w:spacing w:before="0" w:after="0" w:line="240" w:lineRule="auto"/>
              <w:jc w:val="center"/>
              <w:rPr>
                <w:rFonts w:ascii="黑体" w:hAnsi="黑体" w:eastAsia="黑体" w:cs="黑体"/>
                <w:b/>
                <w:bCs/>
                <w:kern w:val="0"/>
                <w:sz w:val="28"/>
                <w:szCs w:val="28"/>
              </w:rPr>
            </w:pPr>
            <w:r>
              <w:rPr>
                <w:rFonts w:hint="eastAsia" w:ascii="黑体" w:hAnsi="黑体" w:eastAsia="黑体" w:cs="黑体"/>
                <w:b/>
                <w:bCs/>
                <w:kern w:val="0"/>
                <w:sz w:val="28"/>
                <w:szCs w:val="28"/>
              </w:rPr>
              <w:t>录取人数</w:t>
            </w:r>
          </w:p>
        </w:tc>
        <w:tc>
          <w:tcPr>
            <w:tcW w:w="2591" w:type="dxa"/>
            <w:tcBorders>
              <w:top w:val="single" w:color="C0504D" w:sz="8" w:space="0"/>
              <w:bottom w:val="single" w:color="C0504D" w:sz="18" w:space="0"/>
              <w:right w:val="single" w:color="auto" w:sz="8" w:space="0"/>
            </w:tcBorders>
            <w:shd w:val="clear" w:color="auto" w:fill="E5B8B7"/>
            <w:noWrap w:val="0"/>
            <w:vAlign w:val="center"/>
          </w:tcPr>
          <w:p>
            <w:pPr>
              <w:widowControl/>
              <w:spacing w:before="0" w:after="0" w:line="240" w:lineRule="auto"/>
              <w:jc w:val="center"/>
              <w:rPr>
                <w:rFonts w:ascii="黑体" w:hAnsi="黑体" w:eastAsia="黑体" w:cs="黑体"/>
                <w:b/>
                <w:bCs/>
                <w:kern w:val="0"/>
                <w:sz w:val="28"/>
                <w:szCs w:val="28"/>
              </w:rPr>
            </w:pPr>
            <w:r>
              <w:rPr>
                <w:rFonts w:hint="eastAsia" w:ascii="黑体" w:hAnsi="黑体" w:eastAsia="黑体" w:cs="黑体"/>
                <w:b/>
                <w:bCs/>
                <w:kern w:val="0"/>
                <w:sz w:val="28"/>
                <w:szCs w:val="28"/>
              </w:rPr>
              <w:t>录取学校</w:t>
            </w:r>
          </w:p>
        </w:tc>
        <w:tc>
          <w:tcPr>
            <w:tcW w:w="1605" w:type="dxa"/>
            <w:tcBorders>
              <w:top w:val="single" w:color="C0504D" w:sz="8" w:space="0"/>
              <w:bottom w:val="single" w:color="C0504D" w:sz="18" w:space="0"/>
              <w:right w:val="single" w:color="C0504D" w:sz="8" w:space="0"/>
            </w:tcBorders>
            <w:shd w:val="clear" w:color="auto" w:fill="E5B8B7"/>
            <w:noWrap w:val="0"/>
            <w:vAlign w:val="center"/>
          </w:tcPr>
          <w:p>
            <w:pPr>
              <w:widowControl/>
              <w:spacing w:before="0" w:after="0" w:line="240" w:lineRule="auto"/>
              <w:jc w:val="center"/>
              <w:rPr>
                <w:rFonts w:ascii="黑体" w:hAnsi="黑体" w:eastAsia="黑体" w:cs="黑体"/>
                <w:b/>
                <w:bCs/>
                <w:kern w:val="0"/>
                <w:sz w:val="28"/>
                <w:szCs w:val="28"/>
              </w:rPr>
            </w:pPr>
            <w:r>
              <w:rPr>
                <w:rFonts w:hint="eastAsia" w:ascii="黑体" w:hAnsi="黑体" w:eastAsia="黑体" w:cs="黑体"/>
                <w:b/>
                <w:bCs/>
                <w:kern w:val="0"/>
                <w:sz w:val="28"/>
                <w:szCs w:val="28"/>
              </w:rPr>
              <w:t>录取人数</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val="0"/>
                <w:bCs w:val="0"/>
                <w:color w:val="000000"/>
                <w:kern w:val="0"/>
                <w:sz w:val="24"/>
                <w:szCs w:val="24"/>
              </w:rPr>
              <w:t>安徽大学</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c>
          <w:tcPr>
            <w:tcW w:w="2591"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滨州医学院</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widowControl/>
              <w:ind w:firstLine="720" w:firstLineChars="300"/>
              <w:rPr>
                <w:rFonts w:ascii="仿宋_GB2312" w:hAnsi="宋体" w:eastAsia="仿宋_GB2312" w:cs="宋体"/>
                <w:b/>
                <w:bCs/>
                <w:color w:val="000000"/>
                <w:kern w:val="0"/>
                <w:sz w:val="24"/>
                <w:szCs w:val="24"/>
              </w:rPr>
            </w:pPr>
            <w:r>
              <w:rPr>
                <w:rFonts w:hint="eastAsia" w:ascii="仿宋_GB2312" w:hAnsi="宋体" w:eastAsia="仿宋_GB2312" w:cs="宋体"/>
                <w:b w:val="0"/>
                <w:bCs w:val="0"/>
                <w:color w:val="000000"/>
                <w:kern w:val="0"/>
                <w:sz w:val="24"/>
                <w:szCs w:val="24"/>
              </w:rPr>
              <w:t>北京大学</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2591"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东北财经大学</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val="0"/>
                <w:bCs w:val="0"/>
                <w:color w:val="000000"/>
                <w:kern w:val="0"/>
                <w:sz w:val="24"/>
                <w:szCs w:val="24"/>
              </w:rPr>
              <w:t>大连理工大学</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2591"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甘肃政法学院</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val="0"/>
                <w:bCs w:val="0"/>
                <w:color w:val="000000"/>
                <w:kern w:val="0"/>
                <w:sz w:val="24"/>
                <w:szCs w:val="24"/>
              </w:rPr>
              <w:t>广东财经大学</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w:t>
            </w:r>
          </w:p>
        </w:tc>
        <w:tc>
          <w:tcPr>
            <w:tcW w:w="2591"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广东工业大学</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val="0"/>
                <w:bCs w:val="0"/>
                <w:color w:val="000000"/>
                <w:kern w:val="0"/>
                <w:sz w:val="24"/>
                <w:szCs w:val="24"/>
              </w:rPr>
              <w:t>广东外语外贸大学</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5</w:t>
            </w:r>
          </w:p>
        </w:tc>
        <w:tc>
          <w:tcPr>
            <w:tcW w:w="2591"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广西师范学院</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val="0"/>
                <w:bCs w:val="0"/>
                <w:color w:val="000000"/>
                <w:kern w:val="0"/>
                <w:sz w:val="24"/>
                <w:szCs w:val="24"/>
              </w:rPr>
              <w:t>广州大学</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c>
          <w:tcPr>
            <w:tcW w:w="2591"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贵州财经大学</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val="0"/>
                <w:bCs w:val="0"/>
                <w:color w:val="000000"/>
                <w:kern w:val="0"/>
                <w:sz w:val="24"/>
                <w:szCs w:val="24"/>
              </w:rPr>
              <w:t>贵州师范大学</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2591"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湖北大学</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val="0"/>
                <w:bCs w:val="0"/>
                <w:color w:val="000000"/>
                <w:kern w:val="0"/>
                <w:sz w:val="24"/>
                <w:szCs w:val="24"/>
              </w:rPr>
              <w:t>湖北经济学院</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c>
          <w:tcPr>
            <w:tcW w:w="2591"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湖南大学</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31</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val="0"/>
                <w:bCs w:val="0"/>
                <w:color w:val="000000"/>
                <w:kern w:val="0"/>
                <w:sz w:val="24"/>
                <w:szCs w:val="24"/>
              </w:rPr>
              <w:t>湖南工程学院</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2591"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湖南工商大学</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val="0"/>
                <w:bCs w:val="0"/>
                <w:color w:val="000000"/>
                <w:kern w:val="0"/>
                <w:sz w:val="24"/>
                <w:szCs w:val="24"/>
              </w:rPr>
              <w:t>湖南科技大学</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2591"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湖南农业大学</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val="0"/>
                <w:bCs w:val="0"/>
                <w:color w:val="000000"/>
                <w:kern w:val="0"/>
                <w:sz w:val="24"/>
                <w:szCs w:val="24"/>
              </w:rPr>
              <w:t>湖南师范大学</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11</w:t>
            </w:r>
          </w:p>
        </w:tc>
        <w:tc>
          <w:tcPr>
            <w:tcW w:w="2591"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华北水利水电大学</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jc w:val="center"/>
              <w:rPr>
                <w:rFonts w:ascii="仿宋_GB2312" w:hAnsi="宋体" w:eastAsia="仿宋_GB2312" w:cs="宋体"/>
                <w:b/>
                <w:bCs w:val="0"/>
                <w:sz w:val="24"/>
                <w:szCs w:val="24"/>
              </w:rPr>
            </w:pPr>
            <w:r>
              <w:rPr>
                <w:rFonts w:hint="eastAsia" w:ascii="仿宋_GB2312" w:hAnsi="宋体" w:eastAsia="仿宋_GB2312" w:cs="Times New Roman"/>
                <w:b w:val="0"/>
                <w:bCs/>
                <w:sz w:val="24"/>
                <w:szCs w:val="24"/>
              </w:rPr>
              <w:t>华东交通大学</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2591" w:type="dxa"/>
            <w:noWrap w:val="0"/>
            <w:vAlign w:val="center"/>
          </w:tcPr>
          <w:p>
            <w:pPr>
              <w:jc w:val="center"/>
              <w:rPr>
                <w:rFonts w:ascii="仿宋_GB2312" w:hAnsi="宋体" w:eastAsia="仿宋_GB2312" w:cs="宋体"/>
                <w:sz w:val="24"/>
                <w:szCs w:val="24"/>
              </w:rPr>
            </w:pPr>
            <w:r>
              <w:rPr>
                <w:rFonts w:hint="eastAsia" w:ascii="仿宋_GB2312" w:hAnsi="宋体" w:eastAsia="仿宋_GB2312"/>
                <w:sz w:val="24"/>
                <w:szCs w:val="24"/>
              </w:rPr>
              <w:t>华南理工大学</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jc w:val="center"/>
              <w:rPr>
                <w:rFonts w:ascii="仿宋_GB2312" w:hAnsi="宋体" w:eastAsia="仿宋_GB2312" w:cs="宋体"/>
                <w:b/>
                <w:bCs w:val="0"/>
                <w:sz w:val="24"/>
                <w:szCs w:val="24"/>
              </w:rPr>
            </w:pPr>
            <w:r>
              <w:rPr>
                <w:rFonts w:hint="eastAsia" w:ascii="仿宋_GB2312" w:hAnsi="宋体" w:eastAsia="仿宋_GB2312" w:cs="Times New Roman"/>
                <w:b w:val="0"/>
                <w:bCs/>
                <w:sz w:val="24"/>
                <w:szCs w:val="24"/>
              </w:rPr>
              <w:t>华南农业大学</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c>
          <w:tcPr>
            <w:tcW w:w="2591" w:type="dxa"/>
            <w:noWrap w:val="0"/>
            <w:vAlign w:val="center"/>
          </w:tcPr>
          <w:p>
            <w:pPr>
              <w:jc w:val="center"/>
              <w:rPr>
                <w:rFonts w:ascii="仿宋_GB2312" w:hAnsi="宋体" w:eastAsia="仿宋_GB2312" w:cs="宋体"/>
                <w:sz w:val="24"/>
                <w:szCs w:val="24"/>
              </w:rPr>
            </w:pPr>
            <w:r>
              <w:rPr>
                <w:rFonts w:hint="eastAsia" w:ascii="仿宋_GB2312" w:hAnsi="宋体" w:eastAsia="仿宋_GB2312"/>
                <w:sz w:val="24"/>
                <w:szCs w:val="24"/>
              </w:rPr>
              <w:t>华南师范大学</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jc w:val="center"/>
              <w:rPr>
                <w:rFonts w:ascii="仿宋_GB2312" w:hAnsi="宋体" w:eastAsia="仿宋_GB2312" w:cs="宋体"/>
                <w:b/>
                <w:bCs w:val="0"/>
                <w:sz w:val="24"/>
                <w:szCs w:val="24"/>
              </w:rPr>
            </w:pPr>
            <w:r>
              <w:rPr>
                <w:rFonts w:hint="eastAsia" w:ascii="仿宋_GB2312" w:hAnsi="宋体" w:eastAsia="仿宋_GB2312" w:cs="Times New Roman"/>
                <w:b w:val="0"/>
                <w:bCs/>
                <w:sz w:val="24"/>
                <w:szCs w:val="24"/>
              </w:rPr>
              <w:t>华中科技大学</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c>
          <w:tcPr>
            <w:tcW w:w="2591" w:type="dxa"/>
            <w:noWrap w:val="0"/>
            <w:vAlign w:val="center"/>
          </w:tcPr>
          <w:p>
            <w:pPr>
              <w:jc w:val="center"/>
              <w:rPr>
                <w:rFonts w:ascii="仿宋_GB2312" w:hAnsi="宋体" w:eastAsia="仿宋_GB2312" w:cs="宋体"/>
                <w:sz w:val="24"/>
                <w:szCs w:val="24"/>
              </w:rPr>
            </w:pPr>
            <w:r>
              <w:rPr>
                <w:rFonts w:hint="eastAsia" w:ascii="仿宋_GB2312" w:hAnsi="宋体" w:eastAsia="仿宋_GB2312"/>
                <w:sz w:val="24"/>
                <w:szCs w:val="24"/>
              </w:rPr>
              <w:t>暨南大学</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val="0"/>
                <w:bCs w:val="0"/>
                <w:color w:val="000000"/>
                <w:kern w:val="0"/>
                <w:sz w:val="24"/>
                <w:szCs w:val="24"/>
              </w:rPr>
              <w:t>江西财经大学</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w:t>
            </w:r>
          </w:p>
        </w:tc>
        <w:tc>
          <w:tcPr>
            <w:tcW w:w="2591"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江西师范大学</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val="0"/>
                <w:bCs w:val="0"/>
                <w:color w:val="000000"/>
                <w:kern w:val="0"/>
                <w:sz w:val="24"/>
                <w:szCs w:val="24"/>
              </w:rPr>
              <w:t>南华大学</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2591"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南京航空航天大学</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jc w:val="center"/>
              <w:rPr>
                <w:rFonts w:ascii="仿宋_GB2312" w:hAnsi="宋体" w:eastAsia="仿宋_GB2312" w:cs="宋体"/>
                <w:b/>
                <w:bCs w:val="0"/>
                <w:sz w:val="24"/>
                <w:szCs w:val="24"/>
              </w:rPr>
            </w:pPr>
            <w:r>
              <w:rPr>
                <w:rFonts w:hint="eastAsia" w:ascii="仿宋_GB2312" w:hAnsi="宋体" w:eastAsia="仿宋_GB2312" w:cs="Times New Roman"/>
                <w:b w:val="0"/>
                <w:bCs/>
                <w:sz w:val="24"/>
                <w:szCs w:val="24"/>
              </w:rPr>
              <w:t>南京师范大学</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2591" w:type="dxa"/>
            <w:noWrap w:val="0"/>
            <w:vAlign w:val="center"/>
          </w:tcPr>
          <w:p>
            <w:pPr>
              <w:jc w:val="center"/>
              <w:rPr>
                <w:rFonts w:ascii="仿宋_GB2312" w:hAnsi="宋体" w:eastAsia="仿宋_GB2312" w:cs="宋体"/>
                <w:sz w:val="24"/>
                <w:szCs w:val="24"/>
              </w:rPr>
            </w:pPr>
            <w:r>
              <w:rPr>
                <w:rFonts w:hint="eastAsia" w:ascii="仿宋_GB2312" w:hAnsi="宋体" w:eastAsia="仿宋_GB2312"/>
                <w:sz w:val="24"/>
                <w:szCs w:val="24"/>
              </w:rPr>
              <w:t>南开大学</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jc w:val="center"/>
              <w:rPr>
                <w:rFonts w:ascii="仿宋_GB2312" w:hAnsi="宋体" w:eastAsia="仿宋_GB2312" w:cs="宋体"/>
                <w:b/>
                <w:bCs w:val="0"/>
                <w:sz w:val="24"/>
                <w:szCs w:val="24"/>
              </w:rPr>
            </w:pPr>
            <w:r>
              <w:rPr>
                <w:rFonts w:hint="eastAsia" w:ascii="仿宋_GB2312" w:hAnsi="宋体" w:eastAsia="仿宋_GB2312" w:cs="Times New Roman"/>
                <w:b w:val="0"/>
                <w:bCs/>
                <w:sz w:val="24"/>
                <w:szCs w:val="24"/>
              </w:rPr>
              <w:t>宁波大学</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2591" w:type="dxa"/>
            <w:noWrap w:val="0"/>
            <w:vAlign w:val="center"/>
          </w:tcPr>
          <w:p>
            <w:pPr>
              <w:jc w:val="center"/>
              <w:rPr>
                <w:rFonts w:ascii="仿宋_GB2312" w:hAnsi="宋体" w:eastAsia="仿宋_GB2312" w:cs="宋体"/>
                <w:sz w:val="24"/>
                <w:szCs w:val="24"/>
              </w:rPr>
            </w:pPr>
            <w:r>
              <w:rPr>
                <w:rFonts w:hint="eastAsia" w:ascii="仿宋_GB2312" w:hAnsi="宋体" w:eastAsia="仿宋_GB2312"/>
                <w:sz w:val="24"/>
                <w:szCs w:val="24"/>
              </w:rPr>
              <w:t>厦门国家会计学院</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jc w:val="center"/>
              <w:rPr>
                <w:rFonts w:ascii="仿宋_GB2312" w:hAnsi="宋体" w:eastAsia="仿宋_GB2312" w:cs="宋体"/>
                <w:b/>
                <w:bCs w:val="0"/>
                <w:sz w:val="24"/>
                <w:szCs w:val="24"/>
              </w:rPr>
            </w:pPr>
            <w:r>
              <w:rPr>
                <w:rFonts w:hint="eastAsia" w:ascii="仿宋_GB2312" w:hAnsi="宋体" w:eastAsia="仿宋_GB2312" w:cs="Times New Roman"/>
                <w:b w:val="0"/>
                <w:bCs/>
                <w:sz w:val="24"/>
                <w:szCs w:val="24"/>
              </w:rPr>
              <w:t>上海财经大学</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c>
          <w:tcPr>
            <w:tcW w:w="2591" w:type="dxa"/>
            <w:noWrap w:val="0"/>
            <w:vAlign w:val="center"/>
          </w:tcPr>
          <w:p>
            <w:pPr>
              <w:jc w:val="center"/>
              <w:rPr>
                <w:rFonts w:ascii="仿宋_GB2312" w:hAnsi="宋体" w:eastAsia="仿宋_GB2312" w:cs="宋体"/>
                <w:sz w:val="24"/>
                <w:szCs w:val="24"/>
              </w:rPr>
            </w:pPr>
            <w:r>
              <w:rPr>
                <w:rFonts w:hint="eastAsia" w:ascii="仿宋_GB2312" w:hAnsi="宋体" w:eastAsia="仿宋_GB2312"/>
                <w:sz w:val="24"/>
                <w:szCs w:val="24"/>
              </w:rPr>
              <w:t>上海对外经贸大学</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jc w:val="center"/>
              <w:rPr>
                <w:rFonts w:ascii="仿宋_GB2312" w:hAnsi="宋体" w:eastAsia="仿宋_GB2312" w:cs="宋体"/>
                <w:b/>
                <w:bCs w:val="0"/>
                <w:sz w:val="24"/>
                <w:szCs w:val="24"/>
              </w:rPr>
            </w:pPr>
            <w:r>
              <w:rPr>
                <w:rFonts w:hint="eastAsia" w:ascii="仿宋_GB2312" w:hAnsi="宋体" w:eastAsia="仿宋_GB2312" w:cs="Times New Roman"/>
                <w:b w:val="0"/>
                <w:bCs/>
                <w:sz w:val="24"/>
                <w:szCs w:val="24"/>
              </w:rPr>
              <w:t>上海海事大学</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c>
          <w:tcPr>
            <w:tcW w:w="2591" w:type="dxa"/>
            <w:noWrap w:val="0"/>
            <w:vAlign w:val="center"/>
          </w:tcPr>
          <w:p>
            <w:pPr>
              <w:jc w:val="center"/>
              <w:rPr>
                <w:rFonts w:ascii="仿宋_GB2312" w:hAnsi="宋体" w:eastAsia="仿宋_GB2312" w:cs="宋体"/>
                <w:sz w:val="24"/>
                <w:szCs w:val="24"/>
              </w:rPr>
            </w:pPr>
            <w:r>
              <w:rPr>
                <w:rFonts w:hint="eastAsia" w:ascii="仿宋_GB2312" w:hAnsi="宋体" w:eastAsia="仿宋_GB2312"/>
                <w:sz w:val="24"/>
                <w:szCs w:val="24"/>
              </w:rPr>
              <w:t>首都经济贸易大学</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jc w:val="center"/>
              <w:rPr>
                <w:rFonts w:ascii="仿宋_GB2312" w:hAnsi="宋体" w:eastAsia="仿宋_GB2312" w:cs="宋体"/>
                <w:b/>
                <w:bCs w:val="0"/>
                <w:sz w:val="24"/>
                <w:szCs w:val="24"/>
              </w:rPr>
            </w:pPr>
            <w:r>
              <w:rPr>
                <w:rFonts w:hint="eastAsia" w:ascii="仿宋_GB2312" w:hAnsi="宋体" w:eastAsia="仿宋_GB2312" w:cs="Times New Roman"/>
                <w:b w:val="0"/>
                <w:bCs/>
                <w:sz w:val="24"/>
                <w:szCs w:val="24"/>
              </w:rPr>
              <w:t>首都师范大学</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2591" w:type="dxa"/>
            <w:noWrap w:val="0"/>
            <w:vAlign w:val="center"/>
          </w:tcPr>
          <w:p>
            <w:pPr>
              <w:jc w:val="center"/>
              <w:rPr>
                <w:rFonts w:ascii="仿宋_GB2312" w:hAnsi="宋体" w:eastAsia="仿宋_GB2312" w:cs="宋体"/>
                <w:sz w:val="24"/>
                <w:szCs w:val="24"/>
              </w:rPr>
            </w:pPr>
            <w:r>
              <w:rPr>
                <w:rFonts w:hint="eastAsia" w:ascii="仿宋_GB2312" w:hAnsi="宋体" w:eastAsia="仿宋_GB2312"/>
                <w:sz w:val="24"/>
                <w:szCs w:val="24"/>
              </w:rPr>
              <w:t>四川大学</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jc w:val="center"/>
              <w:rPr>
                <w:rFonts w:ascii="仿宋_GB2312" w:hAnsi="宋体" w:eastAsia="仿宋_GB2312" w:cs="宋体"/>
                <w:b/>
                <w:bCs w:val="0"/>
                <w:sz w:val="24"/>
                <w:szCs w:val="24"/>
              </w:rPr>
            </w:pPr>
            <w:r>
              <w:rPr>
                <w:rFonts w:hint="eastAsia" w:ascii="仿宋_GB2312" w:hAnsi="宋体" w:eastAsia="仿宋_GB2312" w:cs="Times New Roman"/>
                <w:b w:val="0"/>
                <w:bCs/>
                <w:sz w:val="24"/>
                <w:szCs w:val="24"/>
              </w:rPr>
              <w:t>四川外国语大学</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2591" w:type="dxa"/>
            <w:noWrap w:val="0"/>
            <w:vAlign w:val="center"/>
          </w:tcPr>
          <w:p>
            <w:pPr>
              <w:jc w:val="center"/>
              <w:rPr>
                <w:rFonts w:ascii="仿宋_GB2312" w:hAnsi="宋体" w:eastAsia="仿宋_GB2312" w:cs="宋体"/>
                <w:sz w:val="24"/>
                <w:szCs w:val="24"/>
              </w:rPr>
            </w:pPr>
            <w:r>
              <w:rPr>
                <w:rFonts w:hint="eastAsia" w:ascii="仿宋_GB2312" w:hAnsi="宋体" w:eastAsia="仿宋_GB2312"/>
                <w:sz w:val="24"/>
                <w:szCs w:val="24"/>
              </w:rPr>
              <w:t>苏州大学</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jc w:val="center"/>
              <w:rPr>
                <w:rFonts w:ascii="仿宋_GB2312" w:hAnsi="宋体" w:eastAsia="仿宋_GB2312" w:cs="宋体"/>
                <w:b/>
                <w:bCs w:val="0"/>
                <w:sz w:val="24"/>
                <w:szCs w:val="24"/>
              </w:rPr>
            </w:pPr>
            <w:r>
              <w:rPr>
                <w:rFonts w:hint="eastAsia" w:ascii="仿宋_GB2312" w:hAnsi="宋体" w:eastAsia="仿宋_GB2312" w:cs="Times New Roman"/>
                <w:b w:val="0"/>
                <w:bCs/>
                <w:sz w:val="24"/>
                <w:szCs w:val="24"/>
              </w:rPr>
              <w:t>天津工业大学</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2591" w:type="dxa"/>
            <w:noWrap w:val="0"/>
            <w:vAlign w:val="center"/>
          </w:tcPr>
          <w:p>
            <w:pPr>
              <w:jc w:val="center"/>
              <w:rPr>
                <w:rFonts w:ascii="仿宋_GB2312" w:hAnsi="宋体" w:eastAsia="仿宋_GB2312" w:cs="宋体"/>
                <w:sz w:val="24"/>
                <w:szCs w:val="24"/>
              </w:rPr>
            </w:pPr>
            <w:r>
              <w:rPr>
                <w:rFonts w:hint="eastAsia" w:ascii="仿宋_GB2312" w:hAnsi="宋体" w:eastAsia="仿宋_GB2312"/>
                <w:sz w:val="24"/>
                <w:szCs w:val="24"/>
              </w:rPr>
              <w:t>天津职业技术师范大学</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jc w:val="center"/>
              <w:rPr>
                <w:rFonts w:ascii="仿宋_GB2312" w:hAnsi="宋体" w:eastAsia="仿宋_GB2312" w:cs="宋体"/>
                <w:b/>
                <w:bCs w:val="0"/>
                <w:sz w:val="24"/>
                <w:szCs w:val="24"/>
              </w:rPr>
            </w:pPr>
            <w:r>
              <w:rPr>
                <w:rFonts w:hint="eastAsia" w:ascii="仿宋_GB2312" w:hAnsi="宋体" w:eastAsia="仿宋_GB2312" w:cs="Times New Roman"/>
                <w:b w:val="0"/>
                <w:bCs/>
                <w:sz w:val="24"/>
                <w:szCs w:val="24"/>
              </w:rPr>
              <w:t>武汉工程大学</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2591" w:type="dxa"/>
            <w:noWrap w:val="0"/>
            <w:vAlign w:val="center"/>
          </w:tcPr>
          <w:p>
            <w:pPr>
              <w:jc w:val="center"/>
              <w:rPr>
                <w:rFonts w:ascii="仿宋_GB2312" w:hAnsi="宋体" w:eastAsia="仿宋_GB2312" w:cs="宋体"/>
                <w:sz w:val="24"/>
                <w:szCs w:val="24"/>
              </w:rPr>
            </w:pPr>
            <w:r>
              <w:rPr>
                <w:rFonts w:hint="eastAsia" w:ascii="仿宋_GB2312" w:hAnsi="宋体" w:eastAsia="仿宋_GB2312"/>
                <w:sz w:val="24"/>
                <w:szCs w:val="24"/>
              </w:rPr>
              <w:t>武汉理工大学</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jc w:val="center"/>
              <w:rPr>
                <w:rFonts w:ascii="仿宋_GB2312" w:hAnsi="宋体" w:eastAsia="仿宋_GB2312" w:cs="宋体"/>
                <w:b/>
                <w:bCs w:val="0"/>
                <w:sz w:val="24"/>
                <w:szCs w:val="24"/>
              </w:rPr>
            </w:pPr>
            <w:r>
              <w:rPr>
                <w:rFonts w:hint="eastAsia" w:ascii="仿宋_GB2312" w:hAnsi="宋体" w:eastAsia="仿宋_GB2312" w:cs="Times New Roman"/>
                <w:b w:val="0"/>
                <w:bCs/>
                <w:sz w:val="24"/>
                <w:szCs w:val="24"/>
              </w:rPr>
              <w:t>西安科技大学</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2591" w:type="dxa"/>
            <w:noWrap w:val="0"/>
            <w:vAlign w:val="center"/>
          </w:tcPr>
          <w:p>
            <w:pPr>
              <w:jc w:val="center"/>
              <w:rPr>
                <w:rFonts w:ascii="仿宋_GB2312" w:hAnsi="宋体" w:eastAsia="仿宋_GB2312" w:cs="宋体"/>
                <w:sz w:val="24"/>
                <w:szCs w:val="24"/>
              </w:rPr>
            </w:pPr>
            <w:r>
              <w:rPr>
                <w:rFonts w:hint="eastAsia" w:ascii="仿宋_GB2312" w:hAnsi="宋体" w:eastAsia="仿宋_GB2312"/>
                <w:sz w:val="24"/>
                <w:szCs w:val="24"/>
              </w:rPr>
              <w:t>西华师范大学</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jc w:val="center"/>
              <w:rPr>
                <w:rFonts w:ascii="仿宋_GB2312" w:hAnsi="宋体" w:eastAsia="仿宋_GB2312" w:cs="宋体"/>
                <w:b/>
                <w:bCs w:val="0"/>
                <w:sz w:val="24"/>
                <w:szCs w:val="24"/>
              </w:rPr>
            </w:pPr>
            <w:r>
              <w:rPr>
                <w:rFonts w:hint="eastAsia" w:ascii="仿宋_GB2312" w:hAnsi="宋体" w:eastAsia="仿宋_GB2312" w:cs="Times New Roman"/>
                <w:b w:val="0"/>
                <w:bCs/>
                <w:sz w:val="24"/>
                <w:szCs w:val="24"/>
              </w:rPr>
              <w:t>西南政法大学</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w:t>
            </w:r>
          </w:p>
        </w:tc>
        <w:tc>
          <w:tcPr>
            <w:tcW w:w="2591" w:type="dxa"/>
            <w:noWrap w:val="0"/>
            <w:vAlign w:val="center"/>
          </w:tcPr>
          <w:p>
            <w:pPr>
              <w:jc w:val="center"/>
              <w:rPr>
                <w:rFonts w:ascii="仿宋_GB2312" w:hAnsi="宋体" w:eastAsia="仿宋_GB2312" w:cs="宋体"/>
                <w:sz w:val="24"/>
                <w:szCs w:val="24"/>
              </w:rPr>
            </w:pPr>
            <w:r>
              <w:rPr>
                <w:rFonts w:hint="eastAsia" w:ascii="仿宋_GB2312" w:hAnsi="宋体" w:eastAsia="仿宋_GB2312"/>
                <w:sz w:val="24"/>
                <w:szCs w:val="24"/>
              </w:rPr>
              <w:t>湘潭大学</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5</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jc w:val="center"/>
              <w:rPr>
                <w:rFonts w:ascii="仿宋_GB2312" w:hAnsi="宋体" w:eastAsia="仿宋_GB2312" w:cs="宋体"/>
                <w:b/>
                <w:bCs w:val="0"/>
                <w:sz w:val="24"/>
                <w:szCs w:val="24"/>
              </w:rPr>
            </w:pPr>
            <w:r>
              <w:rPr>
                <w:rFonts w:hint="eastAsia" w:ascii="仿宋_GB2312" w:hAnsi="宋体" w:eastAsia="仿宋_GB2312" w:cs="Times New Roman"/>
                <w:b w:val="0"/>
                <w:bCs/>
                <w:sz w:val="24"/>
                <w:szCs w:val="24"/>
              </w:rPr>
              <w:t>云南财经大学</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2591" w:type="dxa"/>
            <w:noWrap w:val="0"/>
            <w:vAlign w:val="center"/>
          </w:tcPr>
          <w:p>
            <w:pPr>
              <w:jc w:val="center"/>
              <w:rPr>
                <w:rFonts w:ascii="仿宋_GB2312" w:hAnsi="宋体" w:eastAsia="仿宋_GB2312" w:cs="宋体"/>
                <w:sz w:val="24"/>
                <w:szCs w:val="24"/>
              </w:rPr>
            </w:pPr>
            <w:r>
              <w:rPr>
                <w:rFonts w:hint="eastAsia" w:ascii="仿宋_GB2312" w:hAnsi="宋体" w:eastAsia="仿宋_GB2312"/>
                <w:sz w:val="24"/>
                <w:szCs w:val="24"/>
              </w:rPr>
              <w:t>云南大学</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jc w:val="center"/>
              <w:rPr>
                <w:rFonts w:ascii="仿宋_GB2312" w:hAnsi="宋体" w:eastAsia="仿宋_GB2312" w:cs="宋体"/>
                <w:b/>
                <w:bCs w:val="0"/>
                <w:sz w:val="24"/>
                <w:szCs w:val="24"/>
              </w:rPr>
            </w:pPr>
            <w:r>
              <w:rPr>
                <w:rFonts w:hint="eastAsia" w:ascii="仿宋_GB2312" w:hAnsi="宋体" w:eastAsia="仿宋_GB2312" w:cs="Times New Roman"/>
                <w:b w:val="0"/>
                <w:bCs/>
                <w:sz w:val="24"/>
                <w:szCs w:val="24"/>
              </w:rPr>
              <w:t>长沙理工大学</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12</w:t>
            </w:r>
          </w:p>
        </w:tc>
        <w:tc>
          <w:tcPr>
            <w:tcW w:w="2591" w:type="dxa"/>
            <w:noWrap w:val="0"/>
            <w:vAlign w:val="center"/>
          </w:tcPr>
          <w:p>
            <w:pPr>
              <w:jc w:val="center"/>
              <w:rPr>
                <w:rFonts w:ascii="仿宋_GB2312" w:hAnsi="宋体" w:eastAsia="仿宋_GB2312" w:cs="宋体"/>
                <w:sz w:val="24"/>
                <w:szCs w:val="24"/>
              </w:rPr>
            </w:pPr>
            <w:r>
              <w:rPr>
                <w:rFonts w:hint="eastAsia" w:ascii="仿宋_GB2312" w:hAnsi="宋体" w:eastAsia="仿宋_GB2312"/>
                <w:sz w:val="24"/>
                <w:szCs w:val="24"/>
              </w:rPr>
              <w:t>浙江工商大学</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jc w:val="center"/>
              <w:rPr>
                <w:rFonts w:ascii="仿宋_GB2312" w:hAnsi="宋体" w:eastAsia="仿宋_GB2312" w:cs="宋体"/>
                <w:b/>
                <w:bCs w:val="0"/>
                <w:sz w:val="24"/>
                <w:szCs w:val="24"/>
              </w:rPr>
            </w:pPr>
            <w:r>
              <w:rPr>
                <w:rFonts w:hint="eastAsia" w:ascii="仿宋_GB2312" w:hAnsi="宋体" w:eastAsia="仿宋_GB2312" w:cs="Times New Roman"/>
                <w:b w:val="0"/>
                <w:bCs/>
                <w:sz w:val="24"/>
                <w:szCs w:val="24"/>
              </w:rPr>
              <w:t>浙江工业大学</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2591" w:type="dxa"/>
            <w:noWrap w:val="0"/>
            <w:vAlign w:val="center"/>
          </w:tcPr>
          <w:p>
            <w:pPr>
              <w:jc w:val="center"/>
              <w:rPr>
                <w:rFonts w:ascii="仿宋_GB2312" w:hAnsi="宋体" w:eastAsia="仿宋_GB2312" w:cs="宋体"/>
                <w:sz w:val="24"/>
                <w:szCs w:val="24"/>
              </w:rPr>
            </w:pPr>
            <w:r>
              <w:rPr>
                <w:rFonts w:hint="eastAsia" w:ascii="仿宋_GB2312" w:hAnsi="宋体" w:eastAsia="仿宋_GB2312"/>
                <w:sz w:val="24"/>
                <w:szCs w:val="24"/>
              </w:rPr>
              <w:t>中国地质大学(北京)</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jc w:val="center"/>
              <w:rPr>
                <w:rFonts w:ascii="仿宋_GB2312" w:hAnsi="宋体" w:eastAsia="仿宋_GB2312" w:cs="宋体"/>
                <w:b/>
                <w:bCs w:val="0"/>
                <w:sz w:val="24"/>
                <w:szCs w:val="24"/>
              </w:rPr>
            </w:pPr>
            <w:r>
              <w:rPr>
                <w:rFonts w:hint="eastAsia" w:ascii="仿宋_GB2312" w:hAnsi="宋体" w:eastAsia="仿宋_GB2312" w:cs="Times New Roman"/>
                <w:b w:val="0"/>
                <w:bCs/>
                <w:sz w:val="24"/>
                <w:szCs w:val="24"/>
              </w:rPr>
              <w:t>中国矿业大学（北京）</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2591" w:type="dxa"/>
            <w:noWrap w:val="0"/>
            <w:vAlign w:val="center"/>
          </w:tcPr>
          <w:p>
            <w:pPr>
              <w:jc w:val="center"/>
              <w:rPr>
                <w:rFonts w:ascii="仿宋_GB2312" w:hAnsi="宋体" w:eastAsia="仿宋_GB2312" w:cs="宋体"/>
                <w:sz w:val="24"/>
                <w:szCs w:val="24"/>
              </w:rPr>
            </w:pPr>
            <w:r>
              <w:rPr>
                <w:rFonts w:hint="eastAsia" w:ascii="仿宋_GB2312" w:hAnsi="宋体" w:eastAsia="仿宋_GB2312"/>
                <w:sz w:val="24"/>
                <w:szCs w:val="24"/>
              </w:rPr>
              <w:t>中国农业大学</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jc w:val="center"/>
              <w:rPr>
                <w:rFonts w:ascii="仿宋_GB2312" w:hAnsi="宋体" w:eastAsia="仿宋_GB2312" w:cs="宋体"/>
                <w:b/>
                <w:bCs w:val="0"/>
                <w:sz w:val="24"/>
                <w:szCs w:val="24"/>
              </w:rPr>
            </w:pPr>
            <w:r>
              <w:rPr>
                <w:rFonts w:hint="eastAsia" w:ascii="仿宋_GB2312" w:hAnsi="宋体" w:eastAsia="仿宋_GB2312" w:cs="Times New Roman"/>
                <w:b w:val="0"/>
                <w:bCs/>
                <w:sz w:val="24"/>
                <w:szCs w:val="24"/>
              </w:rPr>
              <w:t>中国政法大学</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2591" w:type="dxa"/>
            <w:noWrap w:val="0"/>
            <w:vAlign w:val="center"/>
          </w:tcPr>
          <w:p>
            <w:pPr>
              <w:jc w:val="center"/>
              <w:rPr>
                <w:rFonts w:ascii="仿宋_GB2312" w:hAnsi="宋体" w:eastAsia="仿宋_GB2312" w:cs="宋体"/>
                <w:sz w:val="24"/>
                <w:szCs w:val="24"/>
              </w:rPr>
            </w:pPr>
            <w:r>
              <w:rPr>
                <w:rFonts w:hint="eastAsia" w:ascii="仿宋_GB2312" w:hAnsi="宋体" w:eastAsia="仿宋_GB2312"/>
                <w:sz w:val="24"/>
                <w:szCs w:val="24"/>
              </w:rPr>
              <w:t>中南财经政法大学</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jc w:val="center"/>
              <w:rPr>
                <w:rFonts w:ascii="仿宋_GB2312" w:hAnsi="宋体" w:eastAsia="仿宋_GB2312" w:cs="宋体"/>
                <w:b/>
                <w:bCs w:val="0"/>
                <w:sz w:val="24"/>
                <w:szCs w:val="24"/>
              </w:rPr>
            </w:pPr>
            <w:r>
              <w:rPr>
                <w:rFonts w:hint="eastAsia" w:ascii="仿宋_GB2312" w:hAnsi="宋体" w:eastAsia="仿宋_GB2312" w:cs="Times New Roman"/>
                <w:b w:val="0"/>
                <w:bCs/>
                <w:sz w:val="24"/>
                <w:szCs w:val="24"/>
              </w:rPr>
              <w:t>中南大学</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w:t>
            </w:r>
          </w:p>
        </w:tc>
        <w:tc>
          <w:tcPr>
            <w:tcW w:w="2591" w:type="dxa"/>
            <w:noWrap w:val="0"/>
            <w:vAlign w:val="center"/>
          </w:tcPr>
          <w:p>
            <w:pPr>
              <w:jc w:val="center"/>
              <w:rPr>
                <w:rFonts w:ascii="仿宋_GB2312" w:hAnsi="宋体" w:eastAsia="仿宋_GB2312" w:cs="宋体"/>
                <w:sz w:val="24"/>
                <w:szCs w:val="24"/>
              </w:rPr>
            </w:pPr>
            <w:r>
              <w:rPr>
                <w:rFonts w:hint="eastAsia" w:ascii="仿宋_GB2312" w:hAnsi="宋体" w:eastAsia="仿宋_GB2312"/>
                <w:sz w:val="24"/>
                <w:szCs w:val="24"/>
              </w:rPr>
              <w:t>中南林业科技大学</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5</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jc w:val="center"/>
              <w:rPr>
                <w:rFonts w:ascii="仿宋_GB2312" w:hAnsi="宋体" w:eastAsia="仿宋_GB2312" w:cs="宋体"/>
                <w:b/>
                <w:bCs w:val="0"/>
                <w:sz w:val="24"/>
                <w:szCs w:val="24"/>
              </w:rPr>
            </w:pPr>
            <w:r>
              <w:rPr>
                <w:rFonts w:hint="eastAsia" w:ascii="仿宋_GB2312" w:hAnsi="宋体" w:eastAsia="仿宋_GB2312" w:cs="Times New Roman"/>
                <w:b w:val="0"/>
                <w:bCs/>
                <w:sz w:val="24"/>
                <w:szCs w:val="24"/>
              </w:rPr>
              <w:t>中山大学</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2591" w:type="dxa"/>
            <w:noWrap w:val="0"/>
            <w:vAlign w:val="center"/>
          </w:tcPr>
          <w:p>
            <w:pPr>
              <w:jc w:val="center"/>
              <w:rPr>
                <w:rFonts w:ascii="仿宋_GB2312" w:hAnsi="宋体" w:eastAsia="仿宋_GB2312" w:cs="宋体"/>
                <w:sz w:val="24"/>
                <w:szCs w:val="24"/>
              </w:rPr>
            </w:pPr>
            <w:r>
              <w:rPr>
                <w:rFonts w:hint="eastAsia" w:ascii="仿宋_GB2312" w:hAnsi="宋体" w:eastAsia="仿宋_GB2312"/>
                <w:sz w:val="24"/>
                <w:szCs w:val="24"/>
              </w:rPr>
              <w:t>中央财经大学</w:t>
            </w:r>
          </w:p>
        </w:tc>
        <w:tc>
          <w:tcPr>
            <w:tcW w:w="1605"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trPr>
        <w:tc>
          <w:tcPr>
            <w:tcW w:w="2573" w:type="dxa"/>
            <w:noWrap w:val="0"/>
            <w:vAlign w:val="center"/>
          </w:tcPr>
          <w:p>
            <w:pPr>
              <w:jc w:val="center"/>
              <w:rPr>
                <w:rFonts w:ascii="仿宋_GB2312" w:hAnsi="宋体" w:eastAsia="仿宋_GB2312" w:cs="宋体"/>
                <w:b/>
                <w:bCs w:val="0"/>
                <w:color w:val="000000"/>
                <w:sz w:val="24"/>
                <w:szCs w:val="24"/>
              </w:rPr>
            </w:pPr>
            <w:r>
              <w:rPr>
                <w:rFonts w:hint="eastAsia" w:ascii="仿宋_GB2312" w:hAnsi="宋体" w:eastAsia="仿宋_GB2312" w:cs="Times New Roman"/>
                <w:b w:val="0"/>
                <w:bCs/>
                <w:color w:val="000000"/>
                <w:sz w:val="24"/>
                <w:szCs w:val="24"/>
              </w:rPr>
              <w:t>上海对外经贸大学</w:t>
            </w:r>
          </w:p>
        </w:tc>
        <w:tc>
          <w:tcPr>
            <w:tcW w:w="1622" w:type="dxa"/>
            <w:noWrap w:val="0"/>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2591" w:type="dxa"/>
            <w:noWrap w:val="0"/>
            <w:vAlign w:val="center"/>
          </w:tcPr>
          <w:p>
            <w:pPr>
              <w:widowControl/>
              <w:jc w:val="center"/>
              <w:rPr>
                <w:rFonts w:ascii="仿宋_GB2312" w:hAnsi="宋体" w:eastAsia="仿宋_GB2312" w:cs="宋体"/>
                <w:color w:val="000000"/>
                <w:kern w:val="0"/>
                <w:sz w:val="24"/>
                <w:szCs w:val="24"/>
              </w:rPr>
            </w:pPr>
          </w:p>
        </w:tc>
        <w:tc>
          <w:tcPr>
            <w:tcW w:w="1605" w:type="dxa"/>
            <w:noWrap w:val="0"/>
            <w:vAlign w:val="center"/>
          </w:tcPr>
          <w:p>
            <w:pPr>
              <w:widowControl/>
              <w:jc w:val="center"/>
              <w:rPr>
                <w:rFonts w:ascii="仿宋_GB2312" w:hAnsi="宋体" w:eastAsia="仿宋_GB2312" w:cs="宋体"/>
                <w:color w:val="000000"/>
                <w:kern w:val="0"/>
                <w:sz w:val="24"/>
                <w:szCs w:val="24"/>
              </w:rPr>
            </w:pPr>
          </w:p>
        </w:tc>
      </w:tr>
    </w:tbl>
    <w:p>
      <w:pPr>
        <w:ind w:firstLine="560" w:firstLineChars="200"/>
        <w:rPr>
          <w:rFonts w:ascii="仿宋_GB2312" w:hAnsi="Calibri" w:eastAsia="仿宋_GB2312"/>
          <w:color w:val="000000"/>
          <w:sz w:val="28"/>
          <w:szCs w:val="28"/>
        </w:rPr>
      </w:pPr>
      <w:r>
        <w:rPr>
          <w:rFonts w:hint="eastAsia" w:ascii="仿宋_GB2312" w:hAnsi="Calibri" w:eastAsia="仿宋_GB2312"/>
          <w:color w:val="000000"/>
          <w:sz w:val="28"/>
          <w:szCs w:val="28"/>
        </w:rPr>
        <w:t>（2）出国（境）深造</w:t>
      </w:r>
    </w:p>
    <w:p>
      <w:pPr>
        <w:ind w:firstLine="560" w:firstLineChars="200"/>
        <w:jc w:val="left"/>
        <w:rPr>
          <w:rFonts w:ascii="仿宋_GB2312" w:hAnsi="黑体" w:eastAsia="仿宋_GB2312"/>
          <w:b/>
          <w:color w:val="000000"/>
          <w:sz w:val="28"/>
          <w:szCs w:val="28"/>
        </w:rPr>
      </w:pPr>
      <w:r>
        <w:rPr>
          <w:rFonts w:hint="eastAsia" w:ascii="仿宋_GB2312" w:hAnsi="Calibri" w:eastAsia="仿宋_GB2312"/>
          <w:color w:val="000000"/>
          <w:sz w:val="28"/>
          <w:szCs w:val="28"/>
        </w:rPr>
        <w:t>2019年毕业生中选择出国（境）深造的学生共计52人，主要分</w:t>
      </w:r>
      <w:r>
        <w:rPr>
          <w:rFonts w:hint="eastAsia" w:ascii="仿宋_GB2312" w:hAnsi="黑体" w:eastAsia="仿宋_GB2312"/>
          <w:color w:val="000000"/>
          <w:sz w:val="28"/>
          <w:szCs w:val="28"/>
        </w:rPr>
        <w:t>布在英国诺丁汉大学、爱丁堡大学、纽卡斯尔大学、诺丁汉大学、利物浦大学、英国卡迪夫大学、韩国弘益大学、香港城市大学、英国伯明翰大学、英国贝尔法斯特女王大学、英国埃克塞特大学、日本滋贺县立大学等院校。</w:t>
      </w:r>
    </w:p>
    <w:p>
      <w:pPr>
        <w:pStyle w:val="4"/>
        <w:spacing w:before="0" w:after="0"/>
        <w:rPr>
          <w:rFonts w:ascii="仿宋_GB2312" w:eastAsia="仿宋_GB2312"/>
          <w:color w:val="1F497D"/>
          <w:sz w:val="30"/>
          <w:szCs w:val="30"/>
        </w:rPr>
      </w:pPr>
      <w:bookmarkStart w:id="54" w:name="_Toc30696"/>
      <w:bookmarkStart w:id="55" w:name="_Toc9142"/>
      <w:r>
        <w:rPr>
          <w:rFonts w:hint="eastAsia" w:ascii="仿宋_GB2312" w:eastAsia="仿宋_GB2312"/>
          <w:color w:val="1F497D"/>
          <w:sz w:val="30"/>
          <w:szCs w:val="30"/>
        </w:rPr>
        <w:t>2.3.7 重点单位就业</w:t>
      </w:r>
      <w:bookmarkEnd w:id="54"/>
      <w:bookmarkEnd w:id="55"/>
    </w:p>
    <w:p>
      <w:pPr>
        <w:ind w:firstLine="560" w:firstLineChars="200"/>
        <w:rPr>
          <w:rFonts w:ascii="仿宋_GB2312" w:eastAsia="仿宋_GB2312"/>
          <w:color w:val="000000"/>
          <w:sz w:val="28"/>
          <w:szCs w:val="28"/>
        </w:rPr>
      </w:pPr>
      <w:r>
        <w:rPr>
          <w:rFonts w:hint="eastAsia" w:ascii="仿宋_GB2312" w:eastAsia="仿宋_GB2312"/>
          <w:color w:val="000000"/>
          <w:sz w:val="28"/>
          <w:szCs w:val="28"/>
        </w:rPr>
        <w:t>2019年，我校毕业生就业人数超过 5人以上的就业单位达 45家，目前，毕业生就业主要集中在</w:t>
      </w:r>
      <w:r>
        <w:rPr>
          <w:rFonts w:hint="eastAsia" w:ascii="仿宋_GB2312" w:hAnsi="Calibri" w:eastAsia="仿宋_GB2312"/>
          <w:color w:val="000000"/>
          <w:sz w:val="28"/>
          <w:szCs w:val="28"/>
        </w:rPr>
        <w:t>租赁和商务服务业、</w:t>
      </w:r>
      <w:r>
        <w:rPr>
          <w:rFonts w:hint="eastAsia" w:ascii="仿宋_GB2312" w:eastAsia="仿宋_GB2312"/>
          <w:color w:val="000000"/>
          <w:sz w:val="28"/>
          <w:szCs w:val="28"/>
        </w:rPr>
        <w:t>金融业、建筑业、批发和零售业，信息传输、软件和信息技术服务业、</w:t>
      </w:r>
      <w:r>
        <w:rPr>
          <w:rFonts w:hint="eastAsia" w:ascii="仿宋_GB2312" w:hAnsi="黑体" w:eastAsia="仿宋_GB2312"/>
          <w:color w:val="000000"/>
          <w:sz w:val="28"/>
          <w:szCs w:val="28"/>
        </w:rPr>
        <w:t>教育业</w:t>
      </w:r>
      <w:r>
        <w:rPr>
          <w:rFonts w:hint="eastAsia" w:ascii="仿宋_GB2312" w:eastAsia="仿宋_GB2312"/>
          <w:color w:val="000000"/>
          <w:sz w:val="28"/>
          <w:szCs w:val="28"/>
        </w:rPr>
        <w:t>等行业领域，毕业生就业人数超过 5人或连续3年来校招聘的重点用人单位详见表2-7。</w:t>
      </w:r>
    </w:p>
    <w:p>
      <w:pPr>
        <w:jc w:val="center"/>
        <w:rPr>
          <w:rFonts w:ascii="仿宋_GB2312" w:eastAsia="仿宋_GB2312"/>
          <w:b/>
          <w:bCs/>
          <w:color w:val="000000"/>
          <w:sz w:val="30"/>
          <w:szCs w:val="30"/>
        </w:rPr>
      </w:pPr>
      <w:bookmarkStart w:id="56" w:name="_Toc29824"/>
      <w:r>
        <w:rPr>
          <w:rFonts w:hint="eastAsia" w:ascii="仿宋_GB2312" w:eastAsia="仿宋_GB2312"/>
          <w:b/>
          <w:bCs/>
          <w:color w:val="000000"/>
          <w:sz w:val="30"/>
          <w:szCs w:val="30"/>
        </w:rPr>
        <w:t>表</w:t>
      </w:r>
      <w:r>
        <w:rPr>
          <w:rFonts w:ascii="仿宋_GB2312" w:eastAsia="仿宋_GB2312"/>
          <w:b/>
          <w:bCs/>
          <w:color w:val="000000"/>
          <w:sz w:val="30"/>
          <w:szCs w:val="30"/>
        </w:rPr>
        <w:t>2-</w:t>
      </w:r>
      <w:r>
        <w:rPr>
          <w:rFonts w:hint="eastAsia" w:ascii="仿宋_GB2312" w:eastAsia="仿宋_GB2312"/>
          <w:b/>
          <w:bCs/>
          <w:color w:val="000000"/>
          <w:sz w:val="30"/>
          <w:szCs w:val="30"/>
        </w:rPr>
        <w:t xml:space="preserve">7  </w:t>
      </w:r>
      <w:r>
        <w:rPr>
          <w:rFonts w:ascii="仿宋_GB2312" w:eastAsia="仿宋_GB2312"/>
          <w:b/>
          <w:bCs/>
          <w:color w:val="000000"/>
          <w:sz w:val="30"/>
          <w:szCs w:val="30"/>
        </w:rPr>
        <w:t>201</w:t>
      </w:r>
      <w:r>
        <w:rPr>
          <w:rFonts w:hint="eastAsia" w:ascii="仿宋_GB2312" w:eastAsia="仿宋_GB2312"/>
          <w:b/>
          <w:bCs/>
          <w:color w:val="000000"/>
          <w:sz w:val="30"/>
          <w:szCs w:val="30"/>
        </w:rPr>
        <w:t>9年重点用人单位毕业生就业人数统计表</w:t>
      </w:r>
      <w:bookmarkEnd w:id="56"/>
      <w:bookmarkStart w:id="57" w:name="_Toc21552"/>
    </w:p>
    <w:tbl>
      <w:tblPr>
        <w:tblStyle w:val="21"/>
        <w:tblW w:w="8667" w:type="dxa"/>
        <w:jc w:val="cente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fixed"/>
        <w:tblCellMar>
          <w:top w:w="0" w:type="dxa"/>
          <w:left w:w="108" w:type="dxa"/>
          <w:bottom w:w="0" w:type="dxa"/>
          <w:right w:w="108" w:type="dxa"/>
        </w:tblCellMar>
      </w:tblPr>
      <w:tblGrid>
        <w:gridCol w:w="3574"/>
        <w:gridCol w:w="767"/>
        <w:gridCol w:w="3614"/>
        <w:gridCol w:w="712"/>
      </w:tblGrid>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750" w:hRule="exact"/>
          <w:tblHeader/>
          <w:jc w:val="center"/>
        </w:trPr>
        <w:tc>
          <w:tcPr>
            <w:tcW w:w="3574" w:type="dxa"/>
            <w:tcBorders>
              <w:top w:val="single" w:color="C0504D" w:sz="8" w:space="0"/>
              <w:left w:val="single" w:color="C0504D" w:sz="8" w:space="0"/>
              <w:bottom w:val="single" w:color="C0504D" w:sz="18" w:space="0"/>
              <w:right w:val="single" w:color="auto" w:sz="8" w:space="0"/>
            </w:tcBorders>
            <w:shd w:val="clear" w:color="auto" w:fill="E5B8B7"/>
            <w:noWrap w:val="0"/>
            <w:vAlign w:val="center"/>
          </w:tcPr>
          <w:p>
            <w:pPr>
              <w:widowControl/>
              <w:spacing w:before="0" w:after="0" w:line="240" w:lineRule="auto"/>
              <w:jc w:val="center"/>
              <w:rPr>
                <w:rFonts w:ascii="宋体" w:hAnsi="宋体" w:eastAsia="宋体" w:cs="宋体"/>
                <w:b w:val="0"/>
                <w:bCs w:val="0"/>
                <w:color w:val="000000"/>
                <w:kern w:val="0"/>
                <w:sz w:val="24"/>
                <w:szCs w:val="24"/>
              </w:rPr>
            </w:pPr>
            <w:r>
              <w:rPr>
                <w:rFonts w:hint="eastAsia" w:ascii="宋体" w:hAnsi="宋体" w:eastAsia="宋体" w:cs="宋体"/>
                <w:b/>
                <w:bCs/>
                <w:color w:val="000000"/>
                <w:kern w:val="0"/>
                <w:sz w:val="24"/>
                <w:szCs w:val="24"/>
              </w:rPr>
              <w:t>单位名称</w:t>
            </w:r>
          </w:p>
        </w:tc>
        <w:tc>
          <w:tcPr>
            <w:tcW w:w="767" w:type="dxa"/>
            <w:tcBorders>
              <w:top w:val="single" w:color="C0504D" w:sz="8" w:space="0"/>
              <w:bottom w:val="single" w:color="C0504D" w:sz="18" w:space="0"/>
              <w:right w:val="single" w:color="auto" w:sz="8" w:space="0"/>
            </w:tcBorders>
            <w:shd w:val="clear" w:color="auto" w:fill="E5B8B7"/>
            <w:noWrap w:val="0"/>
            <w:vAlign w:val="center"/>
          </w:tcPr>
          <w:p>
            <w:pPr>
              <w:widowControl/>
              <w:spacing w:before="0" w:after="0" w:line="240" w:lineRule="auto"/>
              <w:jc w:val="center"/>
              <w:rPr>
                <w:rFonts w:ascii="宋体" w:hAnsi="宋体" w:eastAsia="宋体" w:cs="宋体"/>
                <w:b w:val="0"/>
                <w:bCs w:val="0"/>
                <w:color w:val="000000"/>
                <w:kern w:val="0"/>
                <w:sz w:val="24"/>
                <w:szCs w:val="24"/>
              </w:rPr>
            </w:pPr>
            <w:r>
              <w:rPr>
                <w:rFonts w:hint="eastAsia" w:ascii="宋体" w:hAnsi="宋体" w:eastAsia="宋体" w:cs="宋体"/>
                <w:b/>
                <w:bCs/>
                <w:color w:val="000000"/>
                <w:kern w:val="0"/>
                <w:sz w:val="24"/>
                <w:szCs w:val="24"/>
              </w:rPr>
              <w:t>就业人数</w:t>
            </w:r>
          </w:p>
        </w:tc>
        <w:tc>
          <w:tcPr>
            <w:tcW w:w="3614" w:type="dxa"/>
            <w:tcBorders>
              <w:top w:val="single" w:color="C0504D" w:sz="8" w:space="0"/>
              <w:bottom w:val="single" w:color="C0504D" w:sz="18" w:space="0"/>
              <w:right w:val="single" w:color="auto" w:sz="8" w:space="0"/>
            </w:tcBorders>
            <w:shd w:val="clear" w:color="auto" w:fill="E5B8B7"/>
            <w:noWrap w:val="0"/>
            <w:vAlign w:val="center"/>
          </w:tcPr>
          <w:p>
            <w:pPr>
              <w:widowControl/>
              <w:spacing w:before="0" w:after="0" w:line="240" w:lineRule="auto"/>
              <w:jc w:val="center"/>
              <w:rPr>
                <w:rFonts w:ascii="宋体" w:hAnsi="宋体" w:eastAsia="宋体" w:cs="宋体"/>
                <w:b w:val="0"/>
                <w:bCs w:val="0"/>
                <w:color w:val="000000"/>
                <w:kern w:val="0"/>
                <w:sz w:val="24"/>
                <w:szCs w:val="24"/>
              </w:rPr>
            </w:pPr>
            <w:r>
              <w:rPr>
                <w:rFonts w:hint="eastAsia" w:ascii="宋体" w:hAnsi="宋体" w:eastAsia="宋体" w:cs="宋体"/>
                <w:b/>
                <w:bCs/>
                <w:color w:val="000000"/>
                <w:kern w:val="0"/>
                <w:sz w:val="24"/>
                <w:szCs w:val="24"/>
              </w:rPr>
              <w:t>单位名称</w:t>
            </w:r>
          </w:p>
        </w:tc>
        <w:tc>
          <w:tcPr>
            <w:tcW w:w="712" w:type="dxa"/>
            <w:tcBorders>
              <w:top w:val="single" w:color="C0504D" w:sz="8" w:space="0"/>
              <w:bottom w:val="single" w:color="C0504D" w:sz="18" w:space="0"/>
              <w:right w:val="single" w:color="C0504D" w:sz="8" w:space="0"/>
            </w:tcBorders>
            <w:shd w:val="clear" w:color="auto" w:fill="E5B8B7"/>
            <w:noWrap w:val="0"/>
            <w:vAlign w:val="center"/>
          </w:tcPr>
          <w:p>
            <w:pPr>
              <w:widowControl/>
              <w:spacing w:before="0" w:after="0" w:line="240" w:lineRule="auto"/>
              <w:jc w:val="center"/>
              <w:rPr>
                <w:rFonts w:ascii="宋体" w:hAnsi="宋体" w:eastAsia="宋体" w:cs="宋体"/>
                <w:b w:val="0"/>
                <w:bCs w:val="0"/>
                <w:color w:val="000000"/>
                <w:kern w:val="0"/>
                <w:sz w:val="24"/>
                <w:szCs w:val="24"/>
              </w:rPr>
            </w:pPr>
            <w:r>
              <w:rPr>
                <w:rFonts w:hint="eastAsia" w:ascii="宋体" w:hAnsi="宋体" w:eastAsia="宋体" w:cs="宋体"/>
                <w:b/>
                <w:bCs/>
                <w:color w:val="000000"/>
                <w:kern w:val="0"/>
                <w:sz w:val="24"/>
                <w:szCs w:val="24"/>
              </w:rPr>
              <w:t>就业人数</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中国建设银行股份有限公司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28</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湖南尚上建设开发有限公司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中国农业银行股份有限公司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24</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湖南省第三工程有限公司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中国银行股份有限公司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24</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湖南省建工集团第一工程有限公司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中国工商银行股份有限公司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21</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蓝思科技股份有限公司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交通银行股份有限公司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15</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深圳市国策房地产土地估价有限公司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深圳市公狼网络科技有限公司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15</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通号工程局集团建设工程有限公司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中铁城建建设集团</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12</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岳阳林纸股份有限公司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国家各省市县税务局</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11</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长沙恒飞电缆有限公司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深圳市通拓科技有限公司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11</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长沙龙湖房地产开发有限公司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中审众环会计师事务所（特殊普通合伙）</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12</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长沙攀美拉人力资源管理有限公司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安徽三只松鼠云商营销有限责任公司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长沙市天虹百货有限公司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湖南山和勘测设计有限公司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长沙市小新星卡通数码科技有限公司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中国农业发展银行</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长沙市岳麓区马思特培训学校</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6</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中铁集团工程有限责任公司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长沙夏忆服装有限公司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大汉城镇建建设有限公司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长沙易居投资顾问有限公司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农村商业银行股份有限公司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34</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长沙英孚教育英语培训学校</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广东步步高电子工业有限公司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8</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中国光大银行股份有限公司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深圳市齐乐模具科技有限公司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8</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中国水利水电第十四工程局有限公司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五矿二十三冶建设集团有限公司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8</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中建建设工程有限公司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湖南希箭智能家居有限公司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7</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中信银行股份有限公司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中审华会计师事务所（特殊普通合伙）</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7</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安克创新科技股份有限公司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步步高商业连锁股份有限公司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6</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百世物流科技（中国）有限公司长沙分公司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湖南都城建筑设计有限公司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6</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中国水利水电第六工程局有限公司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瑞华会计师事务所（特殊普通合伙）</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6</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广东国地规划科技股份有限公司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深圳市坤鑫国际货运代理有限公司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6</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广东鸿联九五信息产业有限公司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中国建筑第五工程局有限公司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6</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广东腾越建筑工程有限公司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中国水利水电第八工程局有限公司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6</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广州市时代控股集团有限公司长沙分公司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碧桂园房地产开发有限公司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中水电四局南方（珠海）工程有限公司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大华会计师事务所（特殊普通合伙）</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国信证券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飞亚(深圳)信息科技有限公司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湖北达能食品饮料有限公司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佛山博亿达进出口有限公司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湖南艾华集团股份有限公司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佛山市东鹏陶瓷有限公司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湖南艾珂人力资源服务有限公司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杭银消费金融股份有限公司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湖南柏拉图教育科技有限责任公司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湖南建工集团第六工程有限公司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湖南第四工程有限公司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湖南建工集团有限公司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6</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湖南妇女儿童医院有限公司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山河智能装备股份有限公司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湖南富岳出国留学服务中心有限公司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深圳市宝视佳科技有限公司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湖南华菱涟源钢铁有限公司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深圳市有棵树科技有限公司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6</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湖南开源鑫城酒店管理有限公司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深圳市纵维立方科技有限公司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湖南浪淘沙电子商务有限公司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中国人寿保险股份有限公司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湖南丽臣实业股份有限公司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中国邮政储蓄银行股份有限公司湖南公司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湖南绿维环保科技有限公司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百胜餐(武汉)有限公司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4</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湖南省沙坪建设有限公司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北京五八到家信息技术有限公司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4</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湖南省湘衡盐化有限责任公司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北京银行股份有限公司长沙分行</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4</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湖南潭州教育网络科技有限公司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东方丝路（深圳） 科技有限公司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4</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湖南天平正大会计师事务所</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湖南方兴汇达企业管理顾问有限公司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4</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湖南天信兴业会计师事务所有限责任公司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湖南晖时共享智能科技有限公司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4</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湖南西瓜传媒有限公司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湖南九鼎(科技)集团有限公司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4</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湖南西子电商品牌管理有限公司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湖南路桥建设集团有限责任公司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4</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湖南长河机械进出口有限公司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湖南天勤会计师事务所有限责任公司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4</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湖南中复网络科技有限公司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湖南言趣网络科技有限公司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4</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华安证券股份有限公司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湖南友谊联合会计师事务所</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4</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华融湘江银行股份有限公司娄底分行</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宁乡金圈圈网络有限公司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4</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江苏银行股份有限公司连云港分行</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上海浦东发展银行股份有限公司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4</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平和堂有限公司长沙奥克斯广场分店</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天健会计师事务所（特殊普通合伙）</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4</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深圳市傲基电子商务股份有限公司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天职国际会计师事务所（特殊普通合伙）</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4</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太平洋人寿保险股份有限公司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沃尔玛（湖南）商业零售 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4</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唐人神集团股份有限公司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信永中和会计师事务所（特殊普通合伙）</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拓维信息系统股份有限公司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盈亚科技发展有限公司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4</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锡矿山闪星锑业有限责任公司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元年东方软件有限公司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4</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颐华大江投资有限公司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中国人民银行</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4</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尤尼泰（湖南）税务师事务所有限公司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中国移动通信集团湖南有限公司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4</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长沙海信广场实业有限公司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崇友智能技术有限责任公司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长沙市芙蓉区新东方培训学校</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东莞贝特尔英语培训有限公司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湖南芒果培优教育咨询有限公司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广东龙粤通信设备集团有限公司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湖南新奥能源发展有限公司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广东省联泰集团有限公司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长沙银行股份有限公司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国网湖南省电力有限公司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中国民生银行股份有限公司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湖南辉达规划勘测设计研究有限公司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中国平安财产保险股份有限公司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中湘海外建设发展有限公司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中国人民财产保险股份有限公司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中联重科股份有限公司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中航建筑工程有限公司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54" w:hRule="exact"/>
          <w:jc w:val="center"/>
        </w:trPr>
        <w:tc>
          <w:tcPr>
            <w:tcW w:w="3574" w:type="dxa"/>
            <w:noWrap w:val="0"/>
            <w:vAlign w:val="center"/>
          </w:tcPr>
          <w:p>
            <w:pPr>
              <w:widowControl/>
              <w:jc w:val="center"/>
              <w:rPr>
                <w:rFonts w:ascii="仿宋_GB2312" w:hAnsi="宋体" w:eastAsia="仿宋_GB2312" w:cs="宋体"/>
                <w:b/>
                <w:bCs w:val="0"/>
                <w:color w:val="000000"/>
                <w:kern w:val="0"/>
                <w:szCs w:val="21"/>
              </w:rPr>
            </w:pPr>
            <w:r>
              <w:rPr>
                <w:rFonts w:hint="eastAsia" w:ascii="仿宋_GB2312" w:hAnsi="宋体" w:eastAsia="仿宋_GB2312" w:cs="宋体"/>
                <w:b w:val="0"/>
                <w:bCs/>
                <w:color w:val="000000"/>
                <w:kern w:val="0"/>
                <w:szCs w:val="21"/>
              </w:rPr>
              <w:t>中南水电水利工程建设有限公司</w:t>
            </w:r>
          </w:p>
        </w:tc>
        <w:tc>
          <w:tcPr>
            <w:tcW w:w="767"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c>
          <w:tcPr>
            <w:tcW w:w="3614"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中交三公局工程有限公司</w:t>
            </w:r>
          </w:p>
        </w:tc>
        <w:tc>
          <w:tcPr>
            <w:tcW w:w="712" w:type="dxa"/>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bl>
    <w:p>
      <w:pPr>
        <w:pStyle w:val="2"/>
        <w:spacing w:before="0" w:afterLines="100" w:line="240" w:lineRule="auto"/>
        <w:jc w:val="center"/>
        <w:rPr>
          <w:rFonts w:ascii="黑体" w:hAnsi="黑体" w:eastAsia="黑体"/>
          <w:color w:val="1F497D"/>
          <w:kern w:val="0"/>
          <w:sz w:val="32"/>
          <w:szCs w:val="32"/>
        </w:rPr>
      </w:pPr>
      <w:bookmarkStart w:id="58" w:name="_Toc15477"/>
      <w:r>
        <w:rPr>
          <w:rFonts w:hint="eastAsia" w:ascii="黑体" w:hAnsi="黑体" w:eastAsia="黑体"/>
          <w:color w:val="1F497D"/>
          <w:kern w:val="0"/>
          <w:sz w:val="32"/>
          <w:szCs w:val="32"/>
        </w:rPr>
        <w:t>第三部分</w:t>
      </w:r>
      <w:r>
        <w:rPr>
          <w:rFonts w:ascii="黑体" w:hAnsi="黑体" w:eastAsia="黑体"/>
          <w:color w:val="1F497D"/>
          <w:kern w:val="0"/>
          <w:sz w:val="32"/>
          <w:szCs w:val="32"/>
        </w:rPr>
        <w:t xml:space="preserve">  </w:t>
      </w:r>
      <w:r>
        <w:rPr>
          <w:rFonts w:hint="eastAsia" w:ascii="黑体" w:hAnsi="黑体" w:eastAsia="黑体"/>
          <w:color w:val="1F497D"/>
          <w:kern w:val="0"/>
          <w:sz w:val="32"/>
          <w:szCs w:val="32"/>
        </w:rPr>
        <w:t>就业相关分析</w:t>
      </w:r>
      <w:bookmarkEnd w:id="57"/>
      <w:bookmarkEnd w:id="58"/>
    </w:p>
    <w:p>
      <w:pPr>
        <w:pStyle w:val="3"/>
        <w:spacing w:before="0" w:after="0" w:line="240" w:lineRule="auto"/>
        <w:rPr>
          <w:rFonts w:ascii="仿宋_GB2312" w:eastAsia="仿宋_GB2312"/>
          <w:color w:val="1F497D"/>
          <w:sz w:val="30"/>
          <w:szCs w:val="30"/>
        </w:rPr>
      </w:pPr>
      <w:bookmarkStart w:id="59" w:name="_Toc5681"/>
      <w:bookmarkStart w:id="60" w:name="_Toc30857"/>
      <w:r>
        <w:rPr>
          <w:rFonts w:hint="eastAsia" w:ascii="仿宋_GB2312" w:eastAsia="仿宋_GB2312"/>
          <w:color w:val="1F497D"/>
          <w:sz w:val="30"/>
          <w:szCs w:val="30"/>
        </w:rPr>
        <w:t>3.1就业质量分析</w:t>
      </w:r>
      <w:bookmarkEnd w:id="59"/>
      <w:bookmarkEnd w:id="60"/>
    </w:p>
    <w:p>
      <w:pPr>
        <w:ind w:firstLine="560" w:firstLineChars="200"/>
        <w:jc w:val="left"/>
        <w:rPr>
          <w:rFonts w:ascii="仿宋_GB2312" w:hAnsi="宋体" w:eastAsia="仿宋_GB2312"/>
          <w:b/>
          <w:color w:val="000000"/>
          <w:kern w:val="0"/>
          <w:sz w:val="28"/>
          <w:szCs w:val="28"/>
        </w:rPr>
      </w:pPr>
      <w:bookmarkStart w:id="61" w:name="_Toc22549"/>
      <w:r>
        <w:rPr>
          <w:rFonts w:hint="eastAsia" w:ascii="仿宋_GB2312" w:hAnsi="宋体" w:eastAsia="仿宋_GB2312" w:cs="仿宋"/>
          <w:color w:val="000000"/>
          <w:sz w:val="28"/>
          <w:szCs w:val="28"/>
        </w:rPr>
        <w:t>学校配合湖南省大中专毕业生就业指导中心第三方评价机构，以调研问卷的形式对我校2019届毕业生在网上进行问卷调查。共收回有效问卷2439份。调查结果显示：毕业生对学校整体的人才培养满意度（含非常满意、满意和比较满意）达86.42%、</w:t>
      </w:r>
      <w:r>
        <w:rPr>
          <w:rFonts w:hint="eastAsia" w:ascii="仿宋_GB2312" w:hAnsi="宋体" w:eastAsia="仿宋_GB2312" w:cs="宋体"/>
          <w:color w:val="000000"/>
          <w:kern w:val="0"/>
          <w:sz w:val="28"/>
          <w:szCs w:val="28"/>
        </w:rPr>
        <w:t>，</w:t>
      </w:r>
      <w:r>
        <w:rPr>
          <w:rFonts w:hint="eastAsia" w:ascii="仿宋_GB2312" w:hAnsi="宋体" w:eastAsia="仿宋_GB2312" w:cs="仿宋"/>
          <w:color w:val="000000"/>
          <w:sz w:val="28"/>
          <w:szCs w:val="28"/>
        </w:rPr>
        <w:t>对学校的实践教学（含实习、实践、见习等）满意度达89.79%，</w:t>
      </w:r>
      <w:r>
        <w:rPr>
          <w:rFonts w:hint="eastAsia" w:ascii="仿宋_GB2312" w:hAnsi="宋体" w:eastAsia="仿宋_GB2312" w:cs="宋体"/>
          <w:color w:val="000000"/>
          <w:kern w:val="0"/>
          <w:sz w:val="28"/>
          <w:szCs w:val="28"/>
        </w:rPr>
        <w:t>对学校的专业设置与课程安排的合理性满意度达</w:t>
      </w:r>
      <w:r>
        <w:rPr>
          <w:rFonts w:hint="eastAsia" w:ascii="仿宋_GB2312" w:hAnsi="宋体" w:eastAsia="仿宋_GB2312" w:cs="仿宋"/>
          <w:color w:val="000000"/>
          <w:sz w:val="28"/>
          <w:szCs w:val="28"/>
        </w:rPr>
        <w:t>86.06%，其中</w:t>
      </w:r>
      <w:r>
        <w:rPr>
          <w:rFonts w:hint="eastAsia" w:ascii="仿宋_GB2312" w:hAnsi="宋体" w:eastAsia="仿宋_GB2312" w:cs="宋体"/>
          <w:color w:val="000000"/>
          <w:kern w:val="0"/>
          <w:sz w:val="28"/>
          <w:szCs w:val="28"/>
        </w:rPr>
        <w:t>对学校老师们的专业素养满意度达到94.46%</w:t>
      </w:r>
      <w:r>
        <w:rPr>
          <w:rFonts w:hint="eastAsia" w:ascii="仿宋_GB2312" w:hAnsi="宋体" w:eastAsia="仿宋_GB2312" w:cs="仿宋"/>
          <w:color w:val="000000"/>
          <w:sz w:val="28"/>
          <w:szCs w:val="28"/>
        </w:rPr>
        <w:t>。调查的</w:t>
      </w:r>
      <w:r>
        <w:rPr>
          <w:rFonts w:hint="eastAsia" w:ascii="仿宋_GB2312" w:hAnsi="宋体" w:eastAsia="仿宋_GB2312"/>
          <w:color w:val="000000"/>
          <w:sz w:val="28"/>
          <w:szCs w:val="28"/>
        </w:rPr>
        <w:t>4项评价指标都获毕业生的充分肯定，</w:t>
      </w:r>
      <w:r>
        <w:rPr>
          <w:rFonts w:hint="eastAsia" w:ascii="仿宋_GB2312" w:hAnsi="宋体" w:eastAsia="仿宋_GB2312" w:cs="仿宋"/>
          <w:color w:val="000000"/>
          <w:sz w:val="28"/>
          <w:szCs w:val="28"/>
        </w:rPr>
        <w:t>具体情况见表3-1。</w:t>
      </w:r>
    </w:p>
    <w:p>
      <w:pPr>
        <w:spacing w:line="360" w:lineRule="auto"/>
        <w:jc w:val="center"/>
        <w:rPr>
          <w:rFonts w:ascii="仿宋_GB2312" w:hAnsi="宋体" w:eastAsia="仿宋_GB2312"/>
          <w:b/>
          <w:sz w:val="28"/>
          <w:szCs w:val="28"/>
        </w:rPr>
      </w:pPr>
      <w:r>
        <w:rPr>
          <w:rFonts w:hint="eastAsia" w:ascii="仿宋_GB2312" w:hAnsi="宋体" w:eastAsia="仿宋_GB2312"/>
          <w:b/>
          <w:sz w:val="28"/>
          <w:szCs w:val="28"/>
        </w:rPr>
        <w:t>表3-1   2019年毕业生对学校人才培养评价统计表</w:t>
      </w:r>
    </w:p>
    <w:tbl>
      <w:tblPr>
        <w:tblStyle w:val="32"/>
        <w:tblW w:w="10001" w:type="dxa"/>
        <w:jc w:val="cente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blGrid>
        <w:gridCol w:w="1396"/>
        <w:gridCol w:w="905"/>
        <w:gridCol w:w="694"/>
        <w:gridCol w:w="957"/>
        <w:gridCol w:w="731"/>
        <w:gridCol w:w="994"/>
        <w:gridCol w:w="600"/>
        <w:gridCol w:w="776"/>
        <w:gridCol w:w="576"/>
        <w:gridCol w:w="936"/>
        <w:gridCol w:w="620"/>
        <w:gridCol w:w="816"/>
      </w:tblGrid>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1600" w:hRule="atLeast"/>
          <w:jc w:val="center"/>
        </w:trPr>
        <w:tc>
          <w:tcPr>
            <w:tcW w:w="1396" w:type="dxa"/>
            <w:tcBorders>
              <w:top w:val="single" w:color="FFFFFF" w:sz="8" w:space="0"/>
              <w:left w:val="single" w:color="FFFFFF" w:sz="8" w:space="0"/>
              <w:bottom w:val="single" w:color="FFFFFF" w:sz="24" w:space="0"/>
              <w:right w:val="single" w:color="auto" w:sz="8" w:space="0"/>
            </w:tcBorders>
            <w:shd w:val="clear" w:color="auto" w:fill="8064A2"/>
            <w:noWrap w:val="0"/>
            <w:vAlign w:val="center"/>
          </w:tcPr>
          <w:p>
            <w:pPr>
              <w:widowControl/>
              <w:spacing w:beforeAutospacing="0" w:afterAutospacing="0"/>
              <w:jc w:val="center"/>
              <w:rPr>
                <w:rFonts w:ascii="宋体" w:hAnsi="宋体" w:eastAsia="宋体" w:cs="宋体"/>
                <w:b/>
                <w:bCs/>
                <w:i w:val="0"/>
                <w:iCs w:val="0"/>
                <w:color w:val="000000"/>
                <w:kern w:val="0"/>
                <w:sz w:val="24"/>
              </w:rPr>
            </w:pPr>
            <w:r>
              <w:rPr>
                <w:rFonts w:hint="eastAsia" w:ascii="宋体" w:hAnsi="宋体" w:eastAsia="宋体" w:cs="宋体"/>
                <w:b w:val="0"/>
                <w:bCs w:val="0"/>
                <w:i w:val="0"/>
                <w:iCs w:val="0"/>
                <w:color w:val="000000"/>
                <w:kern w:val="0"/>
                <w:sz w:val="24"/>
              </w:rPr>
              <w:t>问卷指标</w:t>
            </w:r>
          </w:p>
        </w:tc>
        <w:tc>
          <w:tcPr>
            <w:tcW w:w="905" w:type="dxa"/>
            <w:tcBorders>
              <w:top w:val="single" w:color="FFFFFF" w:sz="8" w:space="0"/>
              <w:bottom w:val="single" w:color="FFFFFF" w:sz="24" w:space="0"/>
              <w:right w:val="single" w:color="auto" w:sz="8" w:space="0"/>
            </w:tcBorders>
            <w:shd w:val="clear" w:color="auto" w:fill="8064A2"/>
            <w:noWrap w:val="0"/>
            <w:vAlign w:val="center"/>
          </w:tcPr>
          <w:p>
            <w:pPr>
              <w:widowControl/>
              <w:spacing w:beforeAutospacing="0" w:afterAutospacing="0"/>
              <w:jc w:val="center"/>
              <w:rPr>
                <w:rFonts w:ascii="宋体" w:hAnsi="宋体" w:eastAsia="宋体" w:cs="宋体"/>
                <w:b/>
                <w:bCs/>
                <w:i w:val="0"/>
                <w:iCs w:val="0"/>
                <w:color w:val="000000"/>
                <w:kern w:val="0"/>
                <w:sz w:val="24"/>
              </w:rPr>
            </w:pPr>
            <w:r>
              <w:rPr>
                <w:rFonts w:hint="eastAsia" w:ascii="宋体" w:hAnsi="宋体" w:eastAsia="宋体" w:cs="宋体"/>
                <w:b w:val="0"/>
                <w:bCs w:val="0"/>
                <w:i w:val="0"/>
                <w:iCs w:val="0"/>
                <w:color w:val="000000"/>
                <w:kern w:val="0"/>
                <w:sz w:val="24"/>
              </w:rPr>
              <w:t>收回有效问卷</w:t>
            </w:r>
          </w:p>
        </w:tc>
        <w:tc>
          <w:tcPr>
            <w:tcW w:w="694" w:type="dxa"/>
            <w:tcBorders>
              <w:top w:val="single" w:color="FFFFFF" w:sz="8" w:space="0"/>
              <w:bottom w:val="single" w:color="FFFFFF" w:sz="24" w:space="0"/>
              <w:right w:val="single" w:color="auto" w:sz="8" w:space="0"/>
            </w:tcBorders>
            <w:shd w:val="clear" w:color="auto" w:fill="8064A2"/>
            <w:noWrap w:val="0"/>
            <w:vAlign w:val="center"/>
          </w:tcPr>
          <w:p>
            <w:pPr>
              <w:widowControl/>
              <w:spacing w:beforeAutospacing="0" w:afterAutospacing="0"/>
              <w:jc w:val="center"/>
              <w:rPr>
                <w:rFonts w:ascii="宋体" w:hAnsi="宋体" w:eastAsia="宋体" w:cs="宋体"/>
                <w:b/>
                <w:bCs/>
                <w:i w:val="0"/>
                <w:iCs w:val="0"/>
                <w:color w:val="000000"/>
                <w:kern w:val="0"/>
                <w:sz w:val="24"/>
              </w:rPr>
            </w:pPr>
            <w:r>
              <w:rPr>
                <w:rFonts w:hint="eastAsia" w:ascii="宋体" w:hAnsi="宋体" w:eastAsia="宋体" w:cs="宋体"/>
                <w:b w:val="0"/>
                <w:bCs w:val="0"/>
                <w:i w:val="0"/>
                <w:iCs w:val="0"/>
                <w:color w:val="000000"/>
                <w:kern w:val="0"/>
                <w:sz w:val="24"/>
              </w:rPr>
              <w:t>非常满意</w:t>
            </w:r>
          </w:p>
        </w:tc>
        <w:tc>
          <w:tcPr>
            <w:tcW w:w="957" w:type="dxa"/>
            <w:tcBorders>
              <w:top w:val="single" w:color="FFFFFF" w:sz="8" w:space="0"/>
              <w:bottom w:val="single" w:color="FFFFFF" w:sz="24" w:space="0"/>
              <w:right w:val="single" w:color="auto" w:sz="8" w:space="0"/>
            </w:tcBorders>
            <w:shd w:val="clear" w:color="auto" w:fill="8064A2"/>
            <w:noWrap w:val="0"/>
            <w:vAlign w:val="center"/>
          </w:tcPr>
          <w:p>
            <w:pPr>
              <w:widowControl/>
              <w:spacing w:beforeAutospacing="0" w:afterAutospacing="0"/>
              <w:jc w:val="center"/>
              <w:rPr>
                <w:rFonts w:ascii="宋体" w:hAnsi="宋体" w:eastAsia="宋体" w:cs="宋体"/>
                <w:b/>
                <w:bCs/>
                <w:i w:val="0"/>
                <w:iCs w:val="0"/>
                <w:color w:val="000000"/>
                <w:kern w:val="0"/>
                <w:sz w:val="24"/>
              </w:rPr>
            </w:pPr>
            <w:r>
              <w:rPr>
                <w:rFonts w:hint="eastAsia" w:ascii="宋体" w:hAnsi="宋体" w:eastAsia="宋体" w:cs="宋体"/>
                <w:b w:val="0"/>
                <w:bCs w:val="0"/>
                <w:i w:val="0"/>
                <w:iCs w:val="0"/>
                <w:color w:val="000000"/>
                <w:kern w:val="0"/>
                <w:sz w:val="24"/>
              </w:rPr>
              <w:t>百分比（%）</w:t>
            </w:r>
          </w:p>
        </w:tc>
        <w:tc>
          <w:tcPr>
            <w:tcW w:w="731" w:type="dxa"/>
            <w:tcBorders>
              <w:top w:val="single" w:color="FFFFFF" w:sz="8" w:space="0"/>
              <w:bottom w:val="single" w:color="FFFFFF" w:sz="24" w:space="0"/>
              <w:right w:val="single" w:color="auto" w:sz="8" w:space="0"/>
            </w:tcBorders>
            <w:shd w:val="clear" w:color="auto" w:fill="8064A2"/>
            <w:noWrap w:val="0"/>
            <w:vAlign w:val="center"/>
          </w:tcPr>
          <w:p>
            <w:pPr>
              <w:widowControl/>
              <w:spacing w:beforeAutospacing="0" w:afterAutospacing="0"/>
              <w:jc w:val="center"/>
              <w:rPr>
                <w:rFonts w:ascii="宋体" w:hAnsi="宋体" w:eastAsia="宋体" w:cs="宋体"/>
                <w:b/>
                <w:bCs/>
                <w:i w:val="0"/>
                <w:iCs w:val="0"/>
                <w:color w:val="000000"/>
                <w:kern w:val="0"/>
                <w:sz w:val="24"/>
              </w:rPr>
            </w:pPr>
            <w:r>
              <w:rPr>
                <w:rFonts w:hint="eastAsia" w:ascii="宋体" w:hAnsi="宋体" w:eastAsia="宋体" w:cs="宋体"/>
                <w:b w:val="0"/>
                <w:bCs w:val="0"/>
                <w:i w:val="0"/>
                <w:iCs w:val="0"/>
                <w:color w:val="000000"/>
                <w:kern w:val="0"/>
                <w:sz w:val="24"/>
              </w:rPr>
              <w:t>比较满意</w:t>
            </w:r>
          </w:p>
        </w:tc>
        <w:tc>
          <w:tcPr>
            <w:tcW w:w="994" w:type="dxa"/>
            <w:tcBorders>
              <w:top w:val="single" w:color="FFFFFF" w:sz="8" w:space="0"/>
              <w:bottom w:val="single" w:color="FFFFFF" w:sz="24" w:space="0"/>
              <w:right w:val="single" w:color="auto" w:sz="8" w:space="0"/>
            </w:tcBorders>
            <w:shd w:val="clear" w:color="auto" w:fill="8064A2"/>
            <w:noWrap w:val="0"/>
            <w:vAlign w:val="center"/>
          </w:tcPr>
          <w:p>
            <w:pPr>
              <w:widowControl/>
              <w:spacing w:beforeAutospacing="0" w:afterAutospacing="0"/>
              <w:jc w:val="center"/>
              <w:rPr>
                <w:rFonts w:ascii="宋体" w:hAnsi="宋体" w:eastAsia="宋体" w:cs="宋体"/>
                <w:b/>
                <w:bCs/>
                <w:i w:val="0"/>
                <w:iCs w:val="0"/>
                <w:color w:val="000000"/>
                <w:kern w:val="0"/>
                <w:sz w:val="24"/>
              </w:rPr>
            </w:pPr>
            <w:r>
              <w:rPr>
                <w:rFonts w:hint="eastAsia" w:ascii="宋体" w:hAnsi="宋体" w:eastAsia="宋体" w:cs="宋体"/>
                <w:b w:val="0"/>
                <w:bCs w:val="0"/>
                <w:i w:val="0"/>
                <w:iCs w:val="0"/>
                <w:color w:val="000000"/>
                <w:kern w:val="0"/>
                <w:sz w:val="24"/>
              </w:rPr>
              <w:t>百分比（%）</w:t>
            </w:r>
          </w:p>
        </w:tc>
        <w:tc>
          <w:tcPr>
            <w:tcW w:w="600" w:type="dxa"/>
            <w:tcBorders>
              <w:top w:val="single" w:color="FFFFFF" w:sz="8" w:space="0"/>
              <w:bottom w:val="single" w:color="FFFFFF" w:sz="24" w:space="0"/>
              <w:right w:val="single" w:color="auto" w:sz="8" w:space="0"/>
            </w:tcBorders>
            <w:shd w:val="clear" w:color="auto" w:fill="8064A2"/>
            <w:noWrap w:val="0"/>
            <w:vAlign w:val="center"/>
          </w:tcPr>
          <w:p>
            <w:pPr>
              <w:widowControl/>
              <w:spacing w:beforeAutospacing="0" w:afterAutospacing="0"/>
              <w:jc w:val="center"/>
              <w:rPr>
                <w:rFonts w:ascii="宋体" w:hAnsi="宋体" w:eastAsia="宋体" w:cs="宋体"/>
                <w:b/>
                <w:bCs/>
                <w:i w:val="0"/>
                <w:iCs w:val="0"/>
                <w:color w:val="000000"/>
                <w:kern w:val="0"/>
                <w:sz w:val="24"/>
              </w:rPr>
            </w:pPr>
            <w:r>
              <w:rPr>
                <w:rFonts w:hint="eastAsia" w:ascii="宋体" w:hAnsi="宋体" w:eastAsia="宋体" w:cs="宋体"/>
                <w:b w:val="0"/>
                <w:bCs w:val="0"/>
                <w:i w:val="0"/>
                <w:iCs w:val="0"/>
                <w:color w:val="000000"/>
                <w:kern w:val="0"/>
                <w:sz w:val="24"/>
              </w:rPr>
              <w:t>满意</w:t>
            </w:r>
          </w:p>
        </w:tc>
        <w:tc>
          <w:tcPr>
            <w:tcW w:w="776" w:type="dxa"/>
            <w:tcBorders>
              <w:top w:val="single" w:color="FFFFFF" w:sz="8" w:space="0"/>
              <w:bottom w:val="single" w:color="FFFFFF" w:sz="24" w:space="0"/>
              <w:right w:val="single" w:color="auto" w:sz="8" w:space="0"/>
            </w:tcBorders>
            <w:shd w:val="clear" w:color="auto" w:fill="8064A2"/>
            <w:noWrap w:val="0"/>
            <w:vAlign w:val="center"/>
          </w:tcPr>
          <w:p>
            <w:pPr>
              <w:widowControl/>
              <w:spacing w:beforeAutospacing="0" w:afterAutospacing="0"/>
              <w:jc w:val="center"/>
              <w:rPr>
                <w:rFonts w:ascii="宋体" w:hAnsi="宋体" w:eastAsia="宋体" w:cs="宋体"/>
                <w:b/>
                <w:bCs/>
                <w:i w:val="0"/>
                <w:iCs w:val="0"/>
                <w:color w:val="000000"/>
                <w:kern w:val="0"/>
                <w:sz w:val="24"/>
              </w:rPr>
            </w:pPr>
            <w:r>
              <w:rPr>
                <w:rFonts w:hint="eastAsia" w:ascii="宋体" w:hAnsi="宋体" w:eastAsia="宋体" w:cs="宋体"/>
                <w:b w:val="0"/>
                <w:bCs w:val="0"/>
                <w:i w:val="0"/>
                <w:iCs w:val="0"/>
                <w:color w:val="000000"/>
                <w:kern w:val="0"/>
                <w:sz w:val="24"/>
              </w:rPr>
              <w:t>百分比（%）</w:t>
            </w:r>
          </w:p>
        </w:tc>
        <w:tc>
          <w:tcPr>
            <w:tcW w:w="576" w:type="dxa"/>
            <w:tcBorders>
              <w:top w:val="single" w:color="FFFFFF" w:sz="8" w:space="0"/>
              <w:bottom w:val="single" w:color="FFFFFF" w:sz="24" w:space="0"/>
              <w:right w:val="single" w:color="auto" w:sz="8" w:space="0"/>
            </w:tcBorders>
            <w:shd w:val="clear" w:color="auto" w:fill="8064A2"/>
            <w:noWrap w:val="0"/>
            <w:vAlign w:val="center"/>
          </w:tcPr>
          <w:p>
            <w:pPr>
              <w:widowControl/>
              <w:spacing w:beforeAutospacing="0" w:afterAutospacing="0"/>
              <w:jc w:val="center"/>
              <w:rPr>
                <w:rFonts w:ascii="宋体" w:hAnsi="宋体" w:eastAsia="宋体" w:cs="宋体"/>
                <w:b/>
                <w:bCs/>
                <w:i w:val="0"/>
                <w:iCs w:val="0"/>
                <w:color w:val="000000"/>
                <w:kern w:val="0"/>
                <w:sz w:val="24"/>
              </w:rPr>
            </w:pPr>
            <w:r>
              <w:rPr>
                <w:rFonts w:hint="eastAsia" w:ascii="宋体" w:hAnsi="宋体" w:eastAsia="宋体" w:cs="宋体"/>
                <w:b w:val="0"/>
                <w:bCs w:val="0"/>
                <w:i w:val="0"/>
                <w:iCs w:val="0"/>
                <w:color w:val="000000"/>
                <w:kern w:val="0"/>
                <w:sz w:val="24"/>
              </w:rPr>
              <w:t>不太满意</w:t>
            </w:r>
          </w:p>
        </w:tc>
        <w:tc>
          <w:tcPr>
            <w:tcW w:w="936" w:type="dxa"/>
            <w:tcBorders>
              <w:top w:val="single" w:color="FFFFFF" w:sz="8" w:space="0"/>
              <w:bottom w:val="single" w:color="FFFFFF" w:sz="24" w:space="0"/>
              <w:right w:val="single" w:color="auto" w:sz="8" w:space="0"/>
            </w:tcBorders>
            <w:shd w:val="clear" w:color="auto" w:fill="8064A2"/>
            <w:noWrap w:val="0"/>
            <w:vAlign w:val="center"/>
          </w:tcPr>
          <w:p>
            <w:pPr>
              <w:widowControl/>
              <w:spacing w:beforeAutospacing="0" w:afterAutospacing="0"/>
              <w:jc w:val="center"/>
              <w:rPr>
                <w:rFonts w:ascii="宋体" w:hAnsi="宋体" w:eastAsia="宋体" w:cs="宋体"/>
                <w:b/>
                <w:bCs/>
                <w:i w:val="0"/>
                <w:iCs w:val="0"/>
                <w:color w:val="000000"/>
                <w:kern w:val="0"/>
                <w:sz w:val="24"/>
              </w:rPr>
            </w:pPr>
            <w:r>
              <w:rPr>
                <w:rFonts w:hint="eastAsia" w:ascii="宋体" w:hAnsi="宋体" w:eastAsia="宋体" w:cs="宋体"/>
                <w:b w:val="0"/>
                <w:bCs w:val="0"/>
                <w:i w:val="0"/>
                <w:iCs w:val="0"/>
                <w:color w:val="000000"/>
                <w:kern w:val="0"/>
                <w:sz w:val="24"/>
              </w:rPr>
              <w:t>百分比（%）</w:t>
            </w:r>
          </w:p>
        </w:tc>
        <w:tc>
          <w:tcPr>
            <w:tcW w:w="620" w:type="dxa"/>
            <w:tcBorders>
              <w:top w:val="single" w:color="FFFFFF" w:sz="8" w:space="0"/>
              <w:bottom w:val="single" w:color="FFFFFF" w:sz="24" w:space="0"/>
              <w:right w:val="single" w:color="auto" w:sz="8" w:space="0"/>
            </w:tcBorders>
            <w:shd w:val="clear" w:color="auto" w:fill="8064A2"/>
            <w:noWrap w:val="0"/>
            <w:vAlign w:val="center"/>
          </w:tcPr>
          <w:p>
            <w:pPr>
              <w:widowControl/>
              <w:spacing w:beforeAutospacing="0" w:afterAutospacing="0"/>
              <w:jc w:val="center"/>
              <w:rPr>
                <w:rFonts w:ascii="宋体" w:hAnsi="宋体" w:eastAsia="宋体" w:cs="宋体"/>
                <w:b/>
                <w:bCs/>
                <w:i w:val="0"/>
                <w:iCs w:val="0"/>
                <w:color w:val="000000"/>
                <w:kern w:val="0"/>
                <w:sz w:val="24"/>
              </w:rPr>
            </w:pPr>
            <w:r>
              <w:rPr>
                <w:rFonts w:hint="eastAsia" w:ascii="宋体" w:hAnsi="宋体" w:eastAsia="宋体" w:cs="宋体"/>
                <w:b w:val="0"/>
                <w:bCs w:val="0"/>
                <w:i w:val="0"/>
                <w:iCs w:val="0"/>
                <w:color w:val="000000"/>
                <w:kern w:val="0"/>
                <w:sz w:val="24"/>
              </w:rPr>
              <w:t>很不满意</w:t>
            </w:r>
          </w:p>
        </w:tc>
        <w:tc>
          <w:tcPr>
            <w:tcW w:w="816" w:type="dxa"/>
            <w:tcBorders>
              <w:top w:val="single" w:color="FFFFFF" w:sz="8" w:space="0"/>
              <w:bottom w:val="single" w:color="FFFFFF" w:sz="24" w:space="0"/>
              <w:right w:val="single" w:color="FFFFFF" w:sz="8" w:space="0"/>
            </w:tcBorders>
            <w:shd w:val="clear" w:color="auto" w:fill="8064A2"/>
            <w:noWrap w:val="0"/>
            <w:vAlign w:val="center"/>
          </w:tcPr>
          <w:p>
            <w:pPr>
              <w:widowControl/>
              <w:spacing w:beforeAutospacing="0" w:afterAutospacing="0"/>
              <w:jc w:val="center"/>
              <w:rPr>
                <w:rFonts w:ascii="宋体" w:hAnsi="宋体" w:eastAsia="宋体" w:cs="宋体"/>
                <w:b/>
                <w:bCs/>
                <w:i w:val="0"/>
                <w:iCs w:val="0"/>
                <w:color w:val="000000"/>
                <w:kern w:val="0"/>
                <w:sz w:val="24"/>
              </w:rPr>
            </w:pPr>
            <w:r>
              <w:rPr>
                <w:rFonts w:hint="eastAsia" w:ascii="宋体" w:hAnsi="宋体" w:eastAsia="宋体" w:cs="宋体"/>
                <w:b w:val="0"/>
                <w:bCs w:val="0"/>
                <w:i w:val="0"/>
                <w:iCs w:val="0"/>
                <w:color w:val="000000"/>
                <w:kern w:val="0"/>
                <w:sz w:val="24"/>
              </w:rPr>
              <w:t>百分比（%）</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1399" w:hRule="atLeast"/>
          <w:jc w:val="center"/>
        </w:trPr>
        <w:tc>
          <w:tcPr>
            <w:tcW w:w="1396" w:type="dxa"/>
            <w:tcBorders>
              <w:top w:val="single" w:color="FFFFFF" w:sz="24" w:space="0"/>
              <w:left w:val="single" w:color="FFFFFF" w:sz="8" w:space="0"/>
              <w:bottom w:val="nil"/>
              <w:right w:val="single" w:color="FFFFFF" w:sz="24" w:space="0"/>
            </w:tcBorders>
            <w:shd w:val="clear" w:color="auto" w:fill="B2A1C7"/>
            <w:noWrap w:val="0"/>
            <w:vAlign w:val="center"/>
          </w:tcPr>
          <w:p>
            <w:pPr>
              <w:widowControl/>
              <w:spacing w:beforeAutospacing="1" w:afterAutospacing="1"/>
              <w:jc w:val="center"/>
              <w:rPr>
                <w:rFonts w:ascii="宋体" w:hAnsi="宋体" w:eastAsia="宋体" w:cs="宋体"/>
                <w:b/>
                <w:bCs/>
                <w:i w:val="0"/>
                <w:iCs w:val="0"/>
                <w:color w:val="000000"/>
                <w:kern w:val="0"/>
                <w:szCs w:val="21"/>
              </w:rPr>
            </w:pPr>
            <w:r>
              <w:rPr>
                <w:rFonts w:hint="eastAsia" w:ascii="宋体" w:hAnsi="宋体" w:eastAsia="宋体" w:cs="宋体"/>
                <w:b w:val="0"/>
                <w:bCs w:val="0"/>
                <w:i w:val="0"/>
                <w:iCs w:val="0"/>
                <w:color w:val="000000"/>
                <w:kern w:val="0"/>
                <w:szCs w:val="21"/>
              </w:rPr>
              <w:t>总体来看，您对母校的人才培养满意吗？</w:t>
            </w:r>
          </w:p>
        </w:tc>
        <w:tc>
          <w:tcPr>
            <w:tcW w:w="905"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2439</w:t>
            </w:r>
          </w:p>
        </w:tc>
        <w:tc>
          <w:tcPr>
            <w:tcW w:w="694"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255</w:t>
            </w:r>
          </w:p>
        </w:tc>
        <w:tc>
          <w:tcPr>
            <w:tcW w:w="957"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10.46%</w:t>
            </w:r>
          </w:p>
        </w:tc>
        <w:tc>
          <w:tcPr>
            <w:tcW w:w="731"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1207</w:t>
            </w:r>
          </w:p>
        </w:tc>
        <w:tc>
          <w:tcPr>
            <w:tcW w:w="994"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49.49%</w:t>
            </w:r>
          </w:p>
        </w:tc>
        <w:tc>
          <w:tcPr>
            <w:tcW w:w="600"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646</w:t>
            </w:r>
          </w:p>
        </w:tc>
        <w:tc>
          <w:tcPr>
            <w:tcW w:w="776"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26.49%</w:t>
            </w:r>
          </w:p>
        </w:tc>
        <w:tc>
          <w:tcPr>
            <w:tcW w:w="576"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288</w:t>
            </w:r>
          </w:p>
        </w:tc>
        <w:tc>
          <w:tcPr>
            <w:tcW w:w="936"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11.81%</w:t>
            </w:r>
          </w:p>
        </w:tc>
        <w:tc>
          <w:tcPr>
            <w:tcW w:w="620"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43</w:t>
            </w:r>
          </w:p>
        </w:tc>
        <w:tc>
          <w:tcPr>
            <w:tcW w:w="816"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1.76%</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1441" w:hRule="atLeast"/>
          <w:jc w:val="center"/>
        </w:trPr>
        <w:tc>
          <w:tcPr>
            <w:tcW w:w="1396" w:type="dxa"/>
            <w:tcBorders>
              <w:left w:val="single" w:color="FFFFFF" w:sz="8" w:space="0"/>
              <w:bottom w:val="nil"/>
              <w:right w:val="single" w:color="FFFFFF" w:sz="24" w:space="0"/>
            </w:tcBorders>
            <w:shd w:val="clear" w:color="auto" w:fill="B2A1C7"/>
            <w:noWrap w:val="0"/>
            <w:vAlign w:val="center"/>
          </w:tcPr>
          <w:p>
            <w:pPr>
              <w:widowControl/>
              <w:spacing w:beforeAutospacing="1" w:afterAutospacing="1"/>
              <w:jc w:val="center"/>
              <w:rPr>
                <w:rFonts w:ascii="宋体" w:hAnsi="宋体" w:eastAsia="宋体" w:cs="宋体"/>
                <w:b/>
                <w:bCs/>
                <w:i w:val="0"/>
                <w:iCs w:val="0"/>
                <w:color w:val="000000"/>
                <w:kern w:val="0"/>
                <w:szCs w:val="21"/>
              </w:rPr>
            </w:pPr>
            <w:r>
              <w:rPr>
                <w:rFonts w:hint="eastAsia" w:ascii="宋体" w:hAnsi="宋体" w:eastAsia="宋体" w:cs="宋体"/>
                <w:b w:val="0"/>
                <w:bCs w:val="0"/>
                <w:i w:val="0"/>
                <w:iCs w:val="0"/>
                <w:color w:val="000000"/>
                <w:kern w:val="0"/>
                <w:szCs w:val="21"/>
              </w:rPr>
              <w:t>您对学校老师们的专业素养满意吗？</w:t>
            </w:r>
          </w:p>
        </w:tc>
        <w:tc>
          <w:tcPr>
            <w:tcW w:w="905" w:type="dxa"/>
            <w:shd w:val="clear" w:color="auto" w:fill="DFD8E8"/>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2439</w:t>
            </w:r>
          </w:p>
        </w:tc>
        <w:tc>
          <w:tcPr>
            <w:tcW w:w="694" w:type="dxa"/>
            <w:shd w:val="clear" w:color="auto" w:fill="DFD8E8"/>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374</w:t>
            </w:r>
          </w:p>
        </w:tc>
        <w:tc>
          <w:tcPr>
            <w:tcW w:w="957" w:type="dxa"/>
            <w:shd w:val="clear" w:color="auto" w:fill="DFD8E8"/>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15.33%</w:t>
            </w:r>
          </w:p>
        </w:tc>
        <w:tc>
          <w:tcPr>
            <w:tcW w:w="731" w:type="dxa"/>
            <w:shd w:val="clear" w:color="auto" w:fill="DFD8E8"/>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985</w:t>
            </w:r>
          </w:p>
        </w:tc>
        <w:tc>
          <w:tcPr>
            <w:tcW w:w="994" w:type="dxa"/>
            <w:shd w:val="clear" w:color="auto" w:fill="DFD8E8"/>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40.39%</w:t>
            </w:r>
          </w:p>
        </w:tc>
        <w:tc>
          <w:tcPr>
            <w:tcW w:w="600" w:type="dxa"/>
            <w:shd w:val="clear" w:color="auto" w:fill="DFD8E8"/>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945</w:t>
            </w:r>
          </w:p>
        </w:tc>
        <w:tc>
          <w:tcPr>
            <w:tcW w:w="776" w:type="dxa"/>
            <w:shd w:val="clear" w:color="auto" w:fill="DFD8E8"/>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38.75%</w:t>
            </w:r>
          </w:p>
        </w:tc>
        <w:tc>
          <w:tcPr>
            <w:tcW w:w="576" w:type="dxa"/>
            <w:shd w:val="clear" w:color="auto" w:fill="DFD8E8"/>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117</w:t>
            </w:r>
          </w:p>
        </w:tc>
        <w:tc>
          <w:tcPr>
            <w:tcW w:w="936" w:type="dxa"/>
            <w:shd w:val="clear" w:color="auto" w:fill="DFD8E8"/>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4.80%</w:t>
            </w:r>
          </w:p>
        </w:tc>
        <w:tc>
          <w:tcPr>
            <w:tcW w:w="620" w:type="dxa"/>
            <w:shd w:val="clear" w:color="auto" w:fill="DFD8E8"/>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18</w:t>
            </w:r>
          </w:p>
        </w:tc>
        <w:tc>
          <w:tcPr>
            <w:tcW w:w="816" w:type="dxa"/>
            <w:shd w:val="clear" w:color="auto" w:fill="DFD8E8"/>
            <w:noWrap w:val="0"/>
            <w:vAlign w:val="center"/>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0.74%</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1747" w:hRule="atLeast"/>
          <w:jc w:val="center"/>
        </w:trPr>
        <w:tc>
          <w:tcPr>
            <w:tcW w:w="1396" w:type="dxa"/>
            <w:tcBorders>
              <w:top w:val="single" w:color="FFFFFF" w:sz="8" w:space="0"/>
              <w:left w:val="single" w:color="FFFFFF" w:sz="8" w:space="0"/>
              <w:bottom w:val="nil"/>
              <w:right w:val="single" w:color="FFFFFF" w:sz="24" w:space="0"/>
            </w:tcBorders>
            <w:shd w:val="clear" w:color="auto" w:fill="B2A1C7"/>
            <w:noWrap w:val="0"/>
            <w:vAlign w:val="center"/>
          </w:tcPr>
          <w:p>
            <w:pPr>
              <w:widowControl/>
              <w:spacing w:beforeAutospacing="1" w:afterAutospacing="1"/>
              <w:jc w:val="center"/>
              <w:rPr>
                <w:rFonts w:ascii="宋体" w:hAnsi="宋体" w:eastAsia="宋体" w:cs="宋体"/>
                <w:b/>
                <w:bCs/>
                <w:i w:val="0"/>
                <w:iCs w:val="0"/>
                <w:color w:val="000000"/>
                <w:kern w:val="0"/>
                <w:szCs w:val="21"/>
              </w:rPr>
            </w:pPr>
            <w:r>
              <w:rPr>
                <w:rFonts w:hint="eastAsia" w:ascii="宋体" w:hAnsi="宋体" w:eastAsia="宋体" w:cs="宋体"/>
                <w:b w:val="0"/>
                <w:bCs w:val="0"/>
                <w:i w:val="0"/>
                <w:iCs w:val="0"/>
                <w:color w:val="000000"/>
                <w:kern w:val="0"/>
                <w:szCs w:val="21"/>
              </w:rPr>
              <w:t>您对学校的实践教学（含实习、实践、见习等）满意吗？</w:t>
            </w:r>
          </w:p>
        </w:tc>
        <w:tc>
          <w:tcPr>
            <w:tcW w:w="905"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2439</w:t>
            </w:r>
          </w:p>
        </w:tc>
        <w:tc>
          <w:tcPr>
            <w:tcW w:w="694"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310</w:t>
            </w:r>
          </w:p>
        </w:tc>
        <w:tc>
          <w:tcPr>
            <w:tcW w:w="957"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12.71%</w:t>
            </w:r>
          </w:p>
        </w:tc>
        <w:tc>
          <w:tcPr>
            <w:tcW w:w="731"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1032</w:t>
            </w:r>
          </w:p>
        </w:tc>
        <w:tc>
          <w:tcPr>
            <w:tcW w:w="994"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42.31%</w:t>
            </w:r>
          </w:p>
        </w:tc>
        <w:tc>
          <w:tcPr>
            <w:tcW w:w="600"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848</w:t>
            </w:r>
          </w:p>
        </w:tc>
        <w:tc>
          <w:tcPr>
            <w:tcW w:w="776"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34.77%</w:t>
            </w:r>
          </w:p>
        </w:tc>
        <w:tc>
          <w:tcPr>
            <w:tcW w:w="576"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214</w:t>
            </w:r>
          </w:p>
        </w:tc>
        <w:tc>
          <w:tcPr>
            <w:tcW w:w="936"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8.77%</w:t>
            </w:r>
          </w:p>
        </w:tc>
        <w:tc>
          <w:tcPr>
            <w:tcW w:w="620"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35</w:t>
            </w:r>
          </w:p>
        </w:tc>
        <w:tc>
          <w:tcPr>
            <w:tcW w:w="816" w:type="dxa"/>
            <w:tcBorders>
              <w:top w:val="single" w:color="FFFFFF" w:sz="8" w:space="0"/>
              <w:bottom w:val="single" w:color="FFFFFF" w:sz="8" w:space="0"/>
              <w:right w:val="single" w:color="FFFFFF" w:sz="8" w:space="0"/>
            </w:tcBorders>
            <w:shd w:val="clear" w:color="auto" w:fill="BFB1D0"/>
            <w:noWrap w:val="0"/>
            <w:vAlign w:val="center"/>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1.44%</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885" w:hRule="atLeast"/>
          <w:jc w:val="center"/>
        </w:trPr>
        <w:tc>
          <w:tcPr>
            <w:tcW w:w="1396" w:type="dxa"/>
            <w:tcBorders>
              <w:left w:val="single" w:color="FFFFFF" w:sz="8" w:space="0"/>
              <w:bottom w:val="single" w:color="FFFFFF" w:sz="8" w:space="0"/>
              <w:right w:val="single" w:color="FFFFFF" w:sz="24" w:space="0"/>
            </w:tcBorders>
            <w:shd w:val="clear" w:color="auto" w:fill="B2A1C7"/>
            <w:noWrap w:val="0"/>
            <w:vAlign w:val="center"/>
          </w:tcPr>
          <w:p>
            <w:pPr>
              <w:widowControl/>
              <w:spacing w:beforeAutospacing="1" w:afterAutospacing="1"/>
              <w:jc w:val="center"/>
              <w:rPr>
                <w:rFonts w:ascii="宋体" w:hAnsi="宋体" w:eastAsia="宋体" w:cs="宋体"/>
                <w:b/>
                <w:bCs/>
                <w:i w:val="0"/>
                <w:iCs w:val="0"/>
                <w:color w:val="000000"/>
                <w:kern w:val="0"/>
                <w:szCs w:val="21"/>
              </w:rPr>
            </w:pPr>
            <w:r>
              <w:rPr>
                <w:rFonts w:hint="eastAsia" w:ascii="宋体" w:hAnsi="宋体" w:eastAsia="宋体" w:cs="宋体"/>
                <w:b w:val="0"/>
                <w:bCs w:val="0"/>
                <w:i w:val="0"/>
                <w:iCs w:val="0"/>
                <w:color w:val="000000"/>
                <w:kern w:val="0"/>
                <w:szCs w:val="21"/>
              </w:rPr>
              <w:t>您对学校的专业设置与课程安排的合理性满意吗？</w:t>
            </w:r>
          </w:p>
        </w:tc>
        <w:tc>
          <w:tcPr>
            <w:tcW w:w="905" w:type="dxa"/>
            <w:shd w:val="clear" w:color="auto" w:fill="DFD8E8"/>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2439</w:t>
            </w:r>
          </w:p>
        </w:tc>
        <w:tc>
          <w:tcPr>
            <w:tcW w:w="694" w:type="dxa"/>
            <w:shd w:val="clear" w:color="auto" w:fill="DFD8E8"/>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283</w:t>
            </w:r>
          </w:p>
        </w:tc>
        <w:tc>
          <w:tcPr>
            <w:tcW w:w="957" w:type="dxa"/>
            <w:shd w:val="clear" w:color="auto" w:fill="DFD8E8"/>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11.60%</w:t>
            </w:r>
          </w:p>
        </w:tc>
        <w:tc>
          <w:tcPr>
            <w:tcW w:w="731" w:type="dxa"/>
            <w:shd w:val="clear" w:color="auto" w:fill="DFD8E8"/>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1028</w:t>
            </w:r>
          </w:p>
        </w:tc>
        <w:tc>
          <w:tcPr>
            <w:tcW w:w="994" w:type="dxa"/>
            <w:shd w:val="clear" w:color="auto" w:fill="DFD8E8"/>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42.15%</w:t>
            </w:r>
          </w:p>
        </w:tc>
        <w:tc>
          <w:tcPr>
            <w:tcW w:w="600" w:type="dxa"/>
            <w:shd w:val="clear" w:color="auto" w:fill="DFD8E8"/>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788</w:t>
            </w:r>
          </w:p>
        </w:tc>
        <w:tc>
          <w:tcPr>
            <w:tcW w:w="776" w:type="dxa"/>
            <w:shd w:val="clear" w:color="auto" w:fill="DFD8E8"/>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32.31%</w:t>
            </w:r>
          </w:p>
        </w:tc>
        <w:tc>
          <w:tcPr>
            <w:tcW w:w="576" w:type="dxa"/>
            <w:shd w:val="clear" w:color="auto" w:fill="DFD8E8"/>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297</w:t>
            </w:r>
          </w:p>
        </w:tc>
        <w:tc>
          <w:tcPr>
            <w:tcW w:w="936" w:type="dxa"/>
            <w:shd w:val="clear" w:color="auto" w:fill="DFD8E8"/>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12.18%</w:t>
            </w:r>
          </w:p>
        </w:tc>
        <w:tc>
          <w:tcPr>
            <w:tcW w:w="620" w:type="dxa"/>
            <w:shd w:val="clear" w:color="auto" w:fill="DFD8E8"/>
            <w:noWrap w:val="0"/>
            <w:vAlign w:val="center"/>
          </w:tcPr>
          <w:p>
            <w:pPr>
              <w:widowControl/>
              <w:spacing w:beforeAutospacing="1" w:afterAutospacing="1"/>
              <w:jc w:val="center"/>
              <w:rPr>
                <w:rFonts w:ascii="宋体" w:hAnsi="宋体" w:eastAsia="宋体" w:cs="宋体"/>
                <w:color w:val="000000"/>
                <w:kern w:val="0"/>
                <w:sz w:val="24"/>
              </w:rPr>
            </w:pPr>
            <w:r>
              <w:rPr>
                <w:rFonts w:hint="eastAsia" w:ascii="宋体" w:hAnsi="宋体" w:eastAsia="宋体" w:cs="宋体"/>
                <w:color w:val="000000"/>
                <w:kern w:val="0"/>
                <w:sz w:val="24"/>
              </w:rPr>
              <w:t>43</w:t>
            </w:r>
          </w:p>
        </w:tc>
        <w:tc>
          <w:tcPr>
            <w:tcW w:w="816" w:type="dxa"/>
            <w:shd w:val="clear" w:color="auto" w:fill="DFD8E8"/>
            <w:noWrap w:val="0"/>
            <w:vAlign w:val="center"/>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1.76%</w:t>
            </w:r>
          </w:p>
        </w:tc>
      </w:tr>
    </w:tbl>
    <w:p>
      <w:pPr>
        <w:pStyle w:val="4"/>
        <w:spacing w:before="0" w:after="0" w:line="240" w:lineRule="auto"/>
        <w:rPr>
          <w:rFonts w:ascii="仿宋_GB2312" w:eastAsia="仿宋_GB2312"/>
          <w:color w:val="1F497D"/>
          <w:sz w:val="30"/>
          <w:szCs w:val="30"/>
        </w:rPr>
      </w:pPr>
      <w:bookmarkStart w:id="62" w:name="_Toc32674"/>
      <w:r>
        <w:rPr>
          <w:rFonts w:hint="eastAsia" w:ascii="仿宋_GB2312" w:eastAsia="仿宋_GB2312"/>
          <w:color w:val="1F497D"/>
          <w:sz w:val="30"/>
          <w:szCs w:val="30"/>
        </w:rPr>
        <w:t>3.1.1就业单位与专业相关度</w:t>
      </w:r>
      <w:bookmarkEnd w:id="61"/>
      <w:r>
        <w:rPr>
          <w:rFonts w:hint="eastAsia" w:ascii="仿宋_GB2312" w:eastAsia="仿宋_GB2312"/>
          <w:color w:val="1F497D"/>
          <w:sz w:val="30"/>
          <w:szCs w:val="30"/>
        </w:rPr>
        <w:t>的评价</w:t>
      </w:r>
      <w:bookmarkEnd w:id="62"/>
    </w:p>
    <w:p>
      <w:pPr>
        <w:ind w:firstLine="560" w:firstLineChars="200"/>
        <w:jc w:val="left"/>
        <w:rPr>
          <w:rFonts w:ascii="仿宋_GB2312" w:hAnsi="宋体" w:eastAsia="仿宋_GB2312" w:cs="仿宋"/>
          <w:color w:val="000000"/>
          <w:sz w:val="28"/>
          <w:szCs w:val="28"/>
        </w:rPr>
      </w:pPr>
      <w:r>
        <w:rPr>
          <w:rFonts w:hint="eastAsia" w:ascii="仿宋_GB2312" w:hAnsi="宋体" w:eastAsia="仿宋_GB2312" w:cs="仿宋"/>
          <w:color w:val="000000"/>
          <w:sz w:val="28"/>
          <w:szCs w:val="28"/>
        </w:rPr>
        <w:t>学校配合湖南省大中专毕业生就业指导中心第三方评价机构，以调研问卷的形式对我校2019届</w:t>
      </w:r>
      <w:r>
        <w:rPr>
          <w:rFonts w:hint="eastAsia" w:ascii="仿宋_GB2312" w:hAnsi="宋体" w:eastAsia="仿宋_GB2312"/>
          <w:color w:val="000000"/>
          <w:sz w:val="28"/>
          <w:szCs w:val="28"/>
        </w:rPr>
        <w:t>219名已落实工作单位的毕业生（不含升学、出国）的就业单位与专业相关度</w:t>
      </w:r>
      <w:r>
        <w:rPr>
          <w:rFonts w:hint="eastAsia" w:ascii="仿宋_GB2312" w:hAnsi="宋体" w:eastAsia="仿宋_GB2312" w:cs="仿宋"/>
          <w:color w:val="000000"/>
          <w:sz w:val="28"/>
          <w:szCs w:val="28"/>
        </w:rPr>
        <w:t>在网上进行了随机问卷调查。</w:t>
      </w:r>
      <w:r>
        <w:rPr>
          <w:rFonts w:hint="eastAsia" w:ascii="仿宋_GB2312" w:hAnsi="宋体" w:eastAsia="仿宋_GB2312"/>
          <w:color w:val="000000"/>
          <w:sz w:val="28"/>
          <w:szCs w:val="28"/>
        </w:rPr>
        <w:t>从统计的数据来看：44名毕业生就业单位与专业非常相关，68名毕业生就业单位与专业相关，50名毕业生比较相关，相关度较小的33人，很不相关的24人，毕业生就业单位与所学专业非常相关、相关和比较相关三项合计占调查总人数的73.97%</w:t>
      </w:r>
      <w:bookmarkStart w:id="63" w:name="_Toc17522"/>
      <w:r>
        <w:rPr>
          <w:rFonts w:hint="eastAsia" w:ascii="仿宋_GB2312" w:hAnsi="宋体" w:eastAsia="仿宋_GB2312"/>
          <w:color w:val="000000"/>
          <w:sz w:val="28"/>
          <w:szCs w:val="28"/>
        </w:rPr>
        <w:t>，</w:t>
      </w:r>
      <w:r>
        <w:rPr>
          <w:rFonts w:hint="eastAsia" w:ascii="仿宋_GB2312" w:hAnsi="宋体" w:eastAsia="仿宋_GB2312" w:cs="仿宋"/>
          <w:color w:val="000000"/>
          <w:sz w:val="28"/>
          <w:szCs w:val="28"/>
        </w:rPr>
        <w:t>具体情况见图3-1。</w:t>
      </w:r>
    </w:p>
    <w:p>
      <w:pPr>
        <w:spacing w:line="480" w:lineRule="exact"/>
        <w:ind w:firstLine="602" w:firstLineChars="200"/>
        <w:jc w:val="left"/>
        <w:rPr>
          <w:rFonts w:ascii="仿宋_GB2312" w:hAnsi="宋体" w:eastAsia="仿宋_GB2312" w:cs="仿宋"/>
          <w:b/>
          <w:bCs/>
          <w:color w:val="000000"/>
          <w:sz w:val="30"/>
          <w:szCs w:val="30"/>
        </w:rPr>
      </w:pPr>
      <w:r>
        <w:rPr>
          <w:rFonts w:hint="eastAsia" w:ascii="仿宋_GB2312" w:hAnsi="宋体" w:eastAsia="仿宋_GB2312" w:cs="仿宋"/>
          <w:b/>
          <w:bCs/>
          <w:color w:val="000000"/>
          <w:sz w:val="30"/>
          <w:szCs w:val="30"/>
        </w:rPr>
        <w:t>图3-1  2019届毕业生从事工作与所学专业相关度分布图</w:t>
      </w:r>
    </w:p>
    <w:p>
      <w:pPr>
        <w:rPr>
          <w:rFonts w:ascii="仿宋_GB2312" w:eastAsia="仿宋_GB2312"/>
          <w:color w:val="1F497D"/>
          <w:sz w:val="28"/>
          <w:szCs w:val="28"/>
        </w:rPr>
      </w:pPr>
      <w:r>
        <w:rPr>
          <w:rFonts w:ascii="仿宋_GB2312" w:eastAsia="仿宋_GB2312"/>
          <w:color w:val="1F497D"/>
          <w:sz w:val="28"/>
          <w:szCs w:val="28"/>
        </w:rPr>
        <w:drawing>
          <wp:inline distT="0" distB="0" distL="114300" distR="114300">
            <wp:extent cx="5429250" cy="2800350"/>
            <wp:effectExtent l="4445" t="4445" r="14605" b="14605"/>
            <wp:docPr id="10" name="图表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4"/>
        <w:spacing w:before="0" w:after="0"/>
        <w:rPr>
          <w:rFonts w:ascii="仿宋_GB2312" w:eastAsia="仿宋_GB2312"/>
          <w:color w:val="1F497D"/>
          <w:sz w:val="30"/>
          <w:szCs w:val="30"/>
        </w:rPr>
      </w:pPr>
      <w:bookmarkStart w:id="64" w:name="_Toc4812"/>
      <w:r>
        <w:rPr>
          <w:rFonts w:hint="eastAsia" w:ascii="仿宋_GB2312" w:eastAsia="仿宋_GB2312"/>
          <w:color w:val="1F497D"/>
          <w:sz w:val="30"/>
          <w:szCs w:val="30"/>
        </w:rPr>
        <w:t>3.1.2 毕业生对当前就业状况满意度的评价</w:t>
      </w:r>
      <w:bookmarkEnd w:id="64"/>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2019年，学校配合湖南省就业指导中心第三方评价机构，就毕业生对自己当前就业状况（含自主创业、继续深造等）的满意度进行随机问卷调查，收回有效问卷346份，调查结果显示：37名毕业生对自己当前就业状况表示非常满意，占调查总人数的10.69%；92名毕业生对自己当前就业状况表示满意，占调查总人数的26.59%；149人表示比较满意；占调查总人数的43.06%；68名毕业生对自己当前就业状况表示不太满意，占调查总人数的19.65%；我校毕业生对自己所签约单位总体的满意度较高（非常满意、满意和比较满意三项合计</w:t>
      </w:r>
      <w:r>
        <w:rPr>
          <w:rFonts w:hint="eastAsia" w:ascii="仿宋_GB2312" w:hAnsi="宋体" w:eastAsia="仿宋_GB2312" w:cs="宋体"/>
          <w:color w:val="000000"/>
          <w:sz w:val="28"/>
          <w:szCs w:val="28"/>
        </w:rPr>
        <w:t>占调查总人数的</w:t>
      </w:r>
      <w:r>
        <w:rPr>
          <w:rFonts w:hint="eastAsia" w:ascii="仿宋_GB2312" w:hAnsi="宋体" w:eastAsia="仿宋_GB2312"/>
          <w:color w:val="000000"/>
          <w:sz w:val="28"/>
          <w:szCs w:val="28"/>
        </w:rPr>
        <w:t>80.34%）具体情况见图3-2。</w:t>
      </w:r>
    </w:p>
    <w:p>
      <w:pPr>
        <w:jc w:val="center"/>
        <w:rPr>
          <w:rFonts w:ascii="仿宋_GB2312" w:eastAsia="仿宋_GB2312"/>
          <w:b/>
          <w:color w:val="000000"/>
          <w:sz w:val="30"/>
          <w:szCs w:val="30"/>
        </w:rPr>
      </w:pPr>
      <w:r>
        <w:rPr>
          <w:rFonts w:hint="eastAsia" w:ascii="仿宋_GB2312" w:eastAsia="仿宋_GB2312"/>
          <w:b/>
          <w:color w:val="000000"/>
          <w:sz w:val="30"/>
          <w:szCs w:val="30"/>
        </w:rPr>
        <w:t>图3-2  毕业生对当前就业状况满意度分布图</w:t>
      </w:r>
    </w:p>
    <w:p>
      <w:pPr>
        <w:jc w:val="center"/>
        <w:rPr>
          <w:rFonts w:ascii="仿宋_GB2312" w:eastAsia="仿宋_GB2312"/>
          <w:b/>
          <w:color w:val="000000"/>
          <w:sz w:val="24"/>
          <w:szCs w:val="24"/>
        </w:rPr>
      </w:pPr>
      <w:r>
        <w:rPr>
          <w:rFonts w:hint="eastAsia" w:ascii="仿宋_GB2312" w:eastAsia="仿宋_GB2312"/>
          <w:b/>
          <w:color w:val="000000"/>
          <w:sz w:val="24"/>
          <w:szCs w:val="24"/>
        </w:rPr>
        <w:t>（含自主创业、继续深造等）</w:t>
      </w:r>
    </w:p>
    <w:p>
      <w:pPr>
        <w:jc w:val="center"/>
        <w:rPr>
          <w:rFonts w:ascii="仿宋_GB2312" w:eastAsia="仿宋_GB2312"/>
          <w:b/>
          <w:color w:val="000000"/>
          <w:sz w:val="28"/>
          <w:szCs w:val="28"/>
        </w:rPr>
      </w:pPr>
      <w:r>
        <w:rPr>
          <w:rFonts w:ascii="仿宋_GB2312" w:eastAsia="仿宋_GB2312"/>
          <w:b/>
          <w:color w:val="000000"/>
          <w:sz w:val="28"/>
          <w:szCs w:val="28"/>
        </w:rPr>
        <w:drawing>
          <wp:inline distT="0" distB="0" distL="114300" distR="114300">
            <wp:extent cx="4876800" cy="2743200"/>
            <wp:effectExtent l="4445" t="4445" r="14605" b="14605"/>
            <wp:docPr id="11"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End w:id="63"/>
      <w:bookmarkStart w:id="65" w:name="_Toc9942"/>
    </w:p>
    <w:p>
      <w:pPr>
        <w:pStyle w:val="4"/>
        <w:spacing w:before="0" w:after="0"/>
        <w:rPr>
          <w:rFonts w:ascii="仿宋_GB2312" w:eastAsia="仿宋_GB2312"/>
          <w:color w:val="1F497D"/>
          <w:sz w:val="30"/>
          <w:szCs w:val="30"/>
        </w:rPr>
      </w:pPr>
      <w:bookmarkStart w:id="66" w:name="_Toc4257"/>
      <w:r>
        <w:rPr>
          <w:rFonts w:hint="eastAsia" w:ascii="仿宋_GB2312" w:eastAsia="仿宋_GB2312"/>
          <w:color w:val="1F497D"/>
          <w:sz w:val="30"/>
          <w:szCs w:val="30"/>
        </w:rPr>
        <w:t>3.1.3毕业生对学校就业创业指导和服务的评价</w:t>
      </w:r>
      <w:bookmarkEnd w:id="65"/>
      <w:bookmarkEnd w:id="66"/>
    </w:p>
    <w:p>
      <w:pPr>
        <w:ind w:firstLine="560" w:firstLineChars="200"/>
        <w:rPr>
          <w:rFonts w:ascii="仿宋_GB2312" w:hAnsi="仿宋" w:eastAsia="仿宋_GB2312"/>
          <w:color w:val="000000"/>
          <w:sz w:val="28"/>
          <w:szCs w:val="28"/>
        </w:rPr>
      </w:pPr>
      <w:r>
        <w:rPr>
          <w:rFonts w:hint="eastAsia" w:ascii="仿宋_GB2312" w:hAnsi="仿宋" w:eastAsia="仿宋_GB2312"/>
          <w:color w:val="000000"/>
          <w:sz w:val="28"/>
          <w:szCs w:val="28"/>
        </w:rPr>
        <w:t>2019年，学校通过问卷调查、电话回访、邮件、就业走访和配合湖南省大中专毕业生就业指导中心</w:t>
      </w:r>
      <w:r>
        <w:rPr>
          <w:rFonts w:hint="eastAsia" w:ascii="仿宋_GB2312" w:hAnsi="仿宋" w:eastAsia="仿宋_GB2312"/>
          <w:color w:val="262626"/>
          <w:sz w:val="28"/>
          <w:szCs w:val="28"/>
          <w:shd w:val="clear" w:color="auto" w:fill="FFFFFF"/>
        </w:rPr>
        <w:t>第三方专业机构调查</w:t>
      </w:r>
      <w:r>
        <w:rPr>
          <w:rFonts w:hint="eastAsia" w:ascii="仿宋_GB2312" w:hAnsi="仿宋" w:eastAsia="仿宋_GB2312"/>
          <w:color w:val="000000"/>
          <w:sz w:val="28"/>
          <w:szCs w:val="28"/>
        </w:rPr>
        <w:t>等方式，就毕业生对学校就业创业指导与服务工作的满意度进行了随机问卷调查。收回有效问卷2439份，</w:t>
      </w:r>
      <w:r>
        <w:rPr>
          <w:rFonts w:hint="eastAsia" w:ascii="仿宋_GB2312" w:hAnsi="仿宋" w:eastAsia="仿宋_GB2312" w:cs="宋体"/>
          <w:color w:val="000000"/>
          <w:sz w:val="28"/>
          <w:szCs w:val="28"/>
        </w:rPr>
        <w:t>调查结果显示：289名毕业生对学校就业创业指导和服务工作表示非常满意，798名毕业生对学校就业指导和服务工作表示满意，1085人表示比较满意，表示不太满意237人，很不满意30人，</w:t>
      </w:r>
      <w:r>
        <w:rPr>
          <w:rFonts w:hint="eastAsia" w:ascii="仿宋_GB2312" w:eastAsia="仿宋_GB2312"/>
          <w:color w:val="000000"/>
          <w:sz w:val="28"/>
          <w:szCs w:val="28"/>
        </w:rPr>
        <w:t>毕业生</w:t>
      </w:r>
      <w:r>
        <w:rPr>
          <w:rFonts w:hint="eastAsia" w:ascii="仿宋_GB2312" w:hAnsi="仿宋" w:eastAsia="仿宋_GB2312"/>
          <w:color w:val="000000"/>
          <w:sz w:val="28"/>
          <w:szCs w:val="28"/>
        </w:rPr>
        <w:t>对学校就业创业指导与服务工作</w:t>
      </w:r>
      <w:r>
        <w:rPr>
          <w:rFonts w:hint="eastAsia" w:ascii="仿宋_GB2312" w:eastAsia="仿宋_GB2312"/>
          <w:color w:val="000000"/>
          <w:sz w:val="28"/>
          <w:szCs w:val="28"/>
        </w:rPr>
        <w:t>总体的满意度较高（非常满意、满意和比较满意三项合计</w:t>
      </w:r>
      <w:r>
        <w:rPr>
          <w:rFonts w:hint="eastAsia" w:ascii="仿宋_GB2312" w:hAnsi="仿宋" w:eastAsia="仿宋_GB2312" w:cs="宋体"/>
          <w:color w:val="000000"/>
          <w:sz w:val="28"/>
          <w:szCs w:val="28"/>
        </w:rPr>
        <w:t>占调查总人数的</w:t>
      </w:r>
      <w:r>
        <w:rPr>
          <w:rFonts w:hint="eastAsia" w:ascii="仿宋_GB2312" w:eastAsia="仿宋_GB2312"/>
          <w:color w:val="000000"/>
          <w:sz w:val="28"/>
          <w:szCs w:val="28"/>
        </w:rPr>
        <w:t>89.05%）</w:t>
      </w:r>
      <w:r>
        <w:rPr>
          <w:rFonts w:hint="eastAsia" w:ascii="仿宋_GB2312" w:hAnsi="仿宋" w:eastAsia="仿宋_GB2312" w:cs="宋体"/>
          <w:color w:val="000000"/>
          <w:sz w:val="28"/>
          <w:szCs w:val="28"/>
        </w:rPr>
        <w:t>，</w:t>
      </w:r>
      <w:r>
        <w:rPr>
          <w:rFonts w:hint="eastAsia" w:ascii="仿宋_GB2312" w:hAnsi="仿宋" w:eastAsia="仿宋_GB2312"/>
          <w:color w:val="000000"/>
          <w:sz w:val="28"/>
          <w:szCs w:val="28"/>
        </w:rPr>
        <w:t>具体情况见图3-3。</w:t>
      </w:r>
    </w:p>
    <w:p>
      <w:pPr>
        <w:spacing w:beforeLines="100" w:afterLines="100"/>
        <w:ind w:left="645"/>
        <w:jc w:val="center"/>
        <w:rPr>
          <w:rFonts w:ascii="仿宋_GB2312" w:hAnsi="仿宋" w:eastAsia="仿宋_GB2312"/>
          <w:b/>
          <w:sz w:val="30"/>
          <w:szCs w:val="30"/>
        </w:rPr>
      </w:pPr>
      <w:r>
        <w:rPr>
          <w:rFonts w:hint="eastAsia" w:ascii="仿宋_GB2312" w:hAnsi="仿宋" w:eastAsia="仿宋_GB2312"/>
          <w:b/>
          <w:sz w:val="30"/>
          <w:szCs w:val="30"/>
        </w:rPr>
        <w:t>图3-3  对学校就创业指导与服务满意度分布图</w:t>
      </w:r>
    </w:p>
    <w:p>
      <w:pPr>
        <w:jc w:val="center"/>
        <w:rPr>
          <w:rFonts w:ascii="仿宋_GB2312" w:eastAsia="仿宋_GB2312"/>
          <w:color w:val="1F497D"/>
          <w:sz w:val="28"/>
          <w:szCs w:val="28"/>
        </w:rPr>
      </w:pPr>
      <w:bookmarkStart w:id="67" w:name="_Toc29310"/>
      <w:r>
        <w:rPr>
          <w:rFonts w:ascii="仿宋_GB2312" w:eastAsia="仿宋_GB2312"/>
          <w:color w:val="1F497D"/>
          <w:sz w:val="28"/>
          <w:szCs w:val="28"/>
        </w:rPr>
        <w:drawing>
          <wp:inline distT="0" distB="0" distL="114300" distR="114300">
            <wp:extent cx="4914900" cy="2933700"/>
            <wp:effectExtent l="5080" t="4445" r="13970" b="14605"/>
            <wp:docPr id="12" name="图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4"/>
        <w:spacing w:before="0" w:after="0" w:line="240" w:lineRule="auto"/>
        <w:rPr>
          <w:rFonts w:ascii="仿宋_GB2312" w:eastAsia="仿宋_GB2312"/>
          <w:color w:val="1F497D"/>
          <w:sz w:val="30"/>
          <w:szCs w:val="30"/>
        </w:rPr>
      </w:pPr>
      <w:bookmarkStart w:id="68" w:name="_Toc7961"/>
      <w:r>
        <w:rPr>
          <w:rFonts w:hint="eastAsia" w:ascii="仿宋_GB2312" w:eastAsia="仿宋_GB2312"/>
          <w:color w:val="1F497D"/>
          <w:sz w:val="30"/>
          <w:szCs w:val="30"/>
        </w:rPr>
        <w:t>3.1.4 用人单位评价</w:t>
      </w:r>
      <w:bookmarkEnd w:id="67"/>
      <w:bookmarkEnd w:id="68"/>
    </w:p>
    <w:p>
      <w:pPr>
        <w:ind w:firstLine="573"/>
        <w:rPr>
          <w:rFonts w:ascii="仿宋_GB2312" w:hAnsi="宋体" w:eastAsia="仿宋_GB2312"/>
          <w:color w:val="000000"/>
          <w:sz w:val="28"/>
          <w:szCs w:val="28"/>
        </w:rPr>
      </w:pPr>
      <w:r>
        <w:rPr>
          <w:rFonts w:hint="eastAsia" w:ascii="仿宋_GB2312" w:hAnsi="宋体" w:eastAsia="仿宋_GB2312"/>
          <w:sz w:val="28"/>
          <w:szCs w:val="28"/>
        </w:rPr>
        <w:t>2019年</w:t>
      </w:r>
      <w:r>
        <w:rPr>
          <w:rFonts w:hint="eastAsia" w:ascii="仿宋_GB2312" w:hAnsi="宋体" w:eastAsia="仿宋_GB2312"/>
          <w:color w:val="000000"/>
          <w:sz w:val="28"/>
          <w:szCs w:val="28"/>
        </w:rPr>
        <w:t>，学校和各二级学院通过问卷调查、电话回访、邮件、就业走访以及配合湖南省大中专毕业生就业指导中心</w:t>
      </w:r>
      <w:r>
        <w:rPr>
          <w:rFonts w:hint="eastAsia" w:ascii="仿宋_GB2312" w:hAnsi="宋体" w:eastAsia="仿宋_GB2312"/>
          <w:color w:val="262626"/>
          <w:sz w:val="28"/>
          <w:szCs w:val="28"/>
          <w:shd w:val="clear" w:color="auto" w:fill="FFFFFF"/>
        </w:rPr>
        <w:t>第三方专业机构调查</w:t>
      </w:r>
      <w:r>
        <w:rPr>
          <w:rFonts w:hint="eastAsia" w:ascii="仿宋_GB2312" w:hAnsi="宋体" w:eastAsia="仿宋_GB2312"/>
          <w:color w:val="000000"/>
          <w:sz w:val="28"/>
          <w:szCs w:val="28"/>
        </w:rPr>
        <w:t>等方式，</w:t>
      </w:r>
      <w:r>
        <w:rPr>
          <w:rFonts w:hint="eastAsia" w:ascii="仿宋_GB2312" w:hAnsi="宋体" w:eastAsia="仿宋_GB2312"/>
          <w:sz w:val="28"/>
          <w:szCs w:val="28"/>
        </w:rPr>
        <w:t>对</w:t>
      </w:r>
      <w:r>
        <w:rPr>
          <w:rFonts w:hint="eastAsia" w:ascii="仿宋_GB2312" w:hAnsi="宋体" w:eastAsia="仿宋_GB2312"/>
          <w:color w:val="000000"/>
          <w:sz w:val="28"/>
          <w:szCs w:val="28"/>
        </w:rPr>
        <w:t>210</w:t>
      </w:r>
      <w:r>
        <w:rPr>
          <w:rFonts w:hint="eastAsia" w:ascii="仿宋_GB2312" w:hAnsi="宋体" w:eastAsia="仿宋_GB2312"/>
          <w:sz w:val="28"/>
          <w:szCs w:val="28"/>
        </w:rPr>
        <w:t>多家用人单位进行了毕业生满意度随机问卷调查，共收回有效问卷165份，调查结果显示：100%的用人单位对我校毕业生在思想表现和适应能力表示非常满意和满意。98%以上的用人单位对我校毕业生在专业水平、基本技能、学习能力、创新能力和组织协调能力等方面表示非常满意和满意。</w:t>
      </w:r>
      <w:r>
        <w:rPr>
          <w:rFonts w:hint="eastAsia" w:ascii="仿宋_GB2312" w:hAnsi="宋体" w:eastAsia="仿宋_GB2312"/>
          <w:color w:val="000000"/>
          <w:sz w:val="28"/>
          <w:szCs w:val="28"/>
        </w:rPr>
        <w:t>同时，也说明了近几年我校对学生培养目标的确定是比较合理的，在教学与就业指导中对学生专业知识、创新能力和个人素质的培养取得了一定的效果，具体情况见表3-2。</w:t>
      </w:r>
    </w:p>
    <w:p>
      <w:pPr>
        <w:ind w:right="560" w:firstLine="452" w:firstLineChars="150"/>
        <w:rPr>
          <w:rFonts w:ascii="仿宋_GB2312" w:hAnsi="仿宋" w:eastAsia="仿宋_GB2312"/>
          <w:b/>
          <w:color w:val="000000"/>
          <w:sz w:val="30"/>
          <w:szCs w:val="30"/>
        </w:rPr>
      </w:pPr>
      <w:r>
        <w:rPr>
          <w:rFonts w:hint="eastAsia" w:ascii="仿宋_GB2312" w:hAnsi="仿宋" w:eastAsia="仿宋_GB2312"/>
          <w:b/>
          <w:sz w:val="30"/>
          <w:szCs w:val="30"/>
        </w:rPr>
        <w:t>表3-2  2019年</w:t>
      </w:r>
      <w:r>
        <w:rPr>
          <w:rFonts w:hint="eastAsia" w:ascii="仿宋_GB2312" w:hAnsi="仿宋" w:eastAsia="仿宋_GB2312"/>
          <w:b/>
          <w:color w:val="000000"/>
          <w:sz w:val="30"/>
          <w:szCs w:val="30"/>
        </w:rPr>
        <w:t>用人单位对我校毕业生评价状况统计表</w:t>
      </w:r>
    </w:p>
    <w:tbl>
      <w:tblPr>
        <w:tblStyle w:val="118"/>
        <w:tblW w:w="8755" w:type="dxa"/>
        <w:tblInd w:w="0" w:type="dxa"/>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Layout w:type="fixed"/>
        <w:tblCellMar>
          <w:top w:w="0" w:type="dxa"/>
          <w:left w:w="108" w:type="dxa"/>
          <w:bottom w:w="0" w:type="dxa"/>
          <w:right w:w="108" w:type="dxa"/>
        </w:tblCellMar>
      </w:tblPr>
      <w:tblGrid>
        <w:gridCol w:w="1737"/>
        <w:gridCol w:w="975"/>
        <w:gridCol w:w="1575"/>
        <w:gridCol w:w="1155"/>
        <w:gridCol w:w="720"/>
        <w:gridCol w:w="915"/>
        <w:gridCol w:w="828"/>
        <w:gridCol w:w="850"/>
      </w:tblGrid>
      <w:tr>
        <w:tblPrEx>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Ex>
        <w:trPr>
          <w:trHeight w:val="811" w:hRule="atLeast"/>
        </w:trPr>
        <w:tc>
          <w:tcPr>
            <w:tcW w:w="1737" w:type="dxa"/>
            <w:vMerge w:val="restart"/>
            <w:shd w:val="clear" w:color="auto" w:fill="B2A1C7"/>
            <w:noWrap w:val="0"/>
            <w:vAlign w:val="center"/>
          </w:tcPr>
          <w:p>
            <w:pPr>
              <w:jc w:val="center"/>
              <w:rPr>
                <w:rFonts w:ascii="仿宋" w:hAnsi="仿宋" w:eastAsia="仿宋" w:cs="Times New Roman"/>
                <w:b w:val="0"/>
                <w:bCs/>
                <w:color w:val="000000"/>
                <w:sz w:val="28"/>
                <w:szCs w:val="28"/>
              </w:rPr>
            </w:pPr>
            <w:r>
              <w:rPr>
                <w:rFonts w:hint="eastAsia" w:ascii="仿宋" w:hAnsi="仿宋" w:eastAsia="仿宋" w:cs="Times New Roman"/>
                <w:b/>
                <w:bCs/>
                <w:color w:val="000000"/>
                <w:sz w:val="28"/>
                <w:szCs w:val="28"/>
              </w:rPr>
              <w:t>项目</w:t>
            </w:r>
          </w:p>
        </w:tc>
        <w:tc>
          <w:tcPr>
            <w:tcW w:w="975" w:type="dxa"/>
            <w:vMerge w:val="restart"/>
            <w:shd w:val="clear" w:color="auto" w:fill="B2A1C7"/>
            <w:noWrap w:val="0"/>
            <w:vAlign w:val="center"/>
          </w:tcPr>
          <w:p>
            <w:pPr>
              <w:snapToGrid w:val="0"/>
              <w:jc w:val="center"/>
              <w:rPr>
                <w:rFonts w:ascii="仿宋" w:hAnsi="仿宋" w:eastAsia="仿宋" w:cs="Times New Roman"/>
                <w:b w:val="0"/>
                <w:bCs/>
                <w:color w:val="000000"/>
                <w:spacing w:val="-16"/>
                <w:sz w:val="28"/>
                <w:szCs w:val="28"/>
              </w:rPr>
            </w:pPr>
            <w:r>
              <w:rPr>
                <w:rFonts w:hint="eastAsia" w:ascii="仿宋" w:hAnsi="仿宋" w:eastAsia="仿宋" w:cs="Times New Roman"/>
                <w:b/>
                <w:bCs/>
                <w:color w:val="000000"/>
                <w:spacing w:val="-16"/>
                <w:sz w:val="28"/>
                <w:szCs w:val="28"/>
              </w:rPr>
              <w:t>收回有效问卷数</w:t>
            </w:r>
          </w:p>
        </w:tc>
        <w:tc>
          <w:tcPr>
            <w:tcW w:w="6043" w:type="dxa"/>
            <w:gridSpan w:val="6"/>
            <w:shd w:val="clear" w:color="auto" w:fill="B2A1C7"/>
            <w:noWrap w:val="0"/>
            <w:vAlign w:val="center"/>
          </w:tcPr>
          <w:p>
            <w:pPr>
              <w:snapToGrid w:val="0"/>
              <w:jc w:val="center"/>
              <w:rPr>
                <w:rFonts w:ascii="仿宋" w:hAnsi="仿宋" w:eastAsia="仿宋" w:cs="Times New Roman"/>
                <w:b w:val="0"/>
                <w:bCs/>
                <w:color w:val="000000"/>
                <w:sz w:val="28"/>
                <w:szCs w:val="28"/>
              </w:rPr>
            </w:pPr>
            <w:r>
              <w:rPr>
                <w:rFonts w:hint="eastAsia" w:ascii="仿宋" w:hAnsi="仿宋" w:eastAsia="仿宋" w:cs="Times New Roman"/>
                <w:b/>
                <w:bCs/>
                <w:color w:val="000000"/>
                <w:sz w:val="28"/>
                <w:szCs w:val="28"/>
              </w:rPr>
              <w:t>用人单位反馈信息占有效问卷比例（%）</w:t>
            </w:r>
          </w:p>
        </w:tc>
      </w:tr>
      <w:tr>
        <w:tblPrEx>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Ex>
        <w:trPr>
          <w:trHeight w:val="969" w:hRule="atLeast"/>
        </w:trPr>
        <w:tc>
          <w:tcPr>
            <w:tcW w:w="1737" w:type="dxa"/>
            <w:vMerge w:val="continue"/>
            <w:shd w:val="clear" w:color="auto" w:fill="B2A1C7"/>
            <w:noWrap w:val="0"/>
            <w:vAlign w:val="center"/>
          </w:tcPr>
          <w:p>
            <w:pPr>
              <w:jc w:val="center"/>
              <w:rPr>
                <w:rFonts w:ascii="仿宋" w:hAnsi="仿宋" w:eastAsia="仿宋" w:cs="Times New Roman"/>
                <w:b w:val="0"/>
                <w:bCs/>
                <w:color w:val="000000"/>
                <w:sz w:val="28"/>
                <w:szCs w:val="28"/>
              </w:rPr>
            </w:pPr>
          </w:p>
        </w:tc>
        <w:tc>
          <w:tcPr>
            <w:tcW w:w="975" w:type="dxa"/>
            <w:vMerge w:val="continue"/>
            <w:shd w:val="clear" w:color="auto" w:fill="B2A1C7"/>
            <w:noWrap w:val="0"/>
            <w:vAlign w:val="center"/>
          </w:tcPr>
          <w:p>
            <w:pPr>
              <w:snapToGrid w:val="0"/>
              <w:jc w:val="center"/>
              <w:rPr>
                <w:rFonts w:ascii="仿宋" w:hAnsi="仿宋" w:eastAsia="仿宋"/>
                <w:b/>
                <w:color w:val="000000"/>
                <w:sz w:val="28"/>
                <w:szCs w:val="28"/>
              </w:rPr>
            </w:pPr>
          </w:p>
        </w:tc>
        <w:tc>
          <w:tcPr>
            <w:tcW w:w="1575" w:type="dxa"/>
            <w:shd w:val="clear" w:color="auto" w:fill="B2A1C7"/>
            <w:noWrap w:val="0"/>
            <w:vAlign w:val="center"/>
          </w:tcPr>
          <w:p>
            <w:pPr>
              <w:snapToGrid w:val="0"/>
              <w:jc w:val="center"/>
              <w:rPr>
                <w:rFonts w:ascii="仿宋" w:hAnsi="仿宋" w:eastAsia="仿宋"/>
                <w:b/>
                <w:color w:val="000000"/>
                <w:sz w:val="28"/>
                <w:szCs w:val="28"/>
              </w:rPr>
            </w:pPr>
            <w:r>
              <w:rPr>
                <w:rFonts w:hint="eastAsia" w:ascii="仿宋" w:hAnsi="仿宋" w:eastAsia="仿宋"/>
                <w:b/>
                <w:color w:val="000000"/>
                <w:sz w:val="28"/>
                <w:szCs w:val="28"/>
              </w:rPr>
              <w:t>非常满意（含满意）</w:t>
            </w:r>
          </w:p>
        </w:tc>
        <w:tc>
          <w:tcPr>
            <w:tcW w:w="1155" w:type="dxa"/>
            <w:shd w:val="clear" w:color="auto" w:fill="B2A1C7"/>
            <w:noWrap w:val="0"/>
            <w:vAlign w:val="center"/>
          </w:tcPr>
          <w:p>
            <w:pPr>
              <w:snapToGrid w:val="0"/>
              <w:jc w:val="center"/>
              <w:rPr>
                <w:rFonts w:ascii="仿宋" w:hAnsi="仿宋" w:eastAsia="仿宋"/>
                <w:b/>
                <w:color w:val="000000"/>
                <w:sz w:val="28"/>
                <w:szCs w:val="28"/>
              </w:rPr>
            </w:pPr>
            <w:r>
              <w:rPr>
                <w:rFonts w:hint="eastAsia" w:ascii="仿宋" w:hAnsi="仿宋" w:eastAsia="仿宋"/>
                <w:b/>
                <w:color w:val="000000"/>
                <w:sz w:val="28"/>
                <w:szCs w:val="28"/>
              </w:rPr>
              <w:t>%</w:t>
            </w:r>
          </w:p>
        </w:tc>
        <w:tc>
          <w:tcPr>
            <w:tcW w:w="720" w:type="dxa"/>
            <w:shd w:val="clear" w:color="auto" w:fill="B2A1C7"/>
            <w:noWrap w:val="0"/>
            <w:vAlign w:val="center"/>
          </w:tcPr>
          <w:p>
            <w:pPr>
              <w:snapToGrid w:val="0"/>
              <w:jc w:val="center"/>
              <w:rPr>
                <w:rFonts w:ascii="仿宋" w:hAnsi="仿宋" w:eastAsia="仿宋"/>
                <w:b/>
                <w:color w:val="000000"/>
                <w:sz w:val="28"/>
                <w:szCs w:val="28"/>
              </w:rPr>
            </w:pPr>
            <w:r>
              <w:rPr>
                <w:rFonts w:hint="eastAsia" w:ascii="仿宋" w:hAnsi="仿宋" w:eastAsia="仿宋"/>
                <w:b/>
                <w:color w:val="000000"/>
                <w:sz w:val="28"/>
                <w:szCs w:val="28"/>
              </w:rPr>
              <w:t>一般</w:t>
            </w:r>
          </w:p>
        </w:tc>
        <w:tc>
          <w:tcPr>
            <w:tcW w:w="915" w:type="dxa"/>
            <w:shd w:val="clear" w:color="auto" w:fill="B2A1C7"/>
            <w:noWrap w:val="0"/>
            <w:vAlign w:val="center"/>
          </w:tcPr>
          <w:p>
            <w:pPr>
              <w:snapToGrid w:val="0"/>
              <w:jc w:val="center"/>
              <w:rPr>
                <w:rFonts w:ascii="仿宋" w:hAnsi="仿宋" w:eastAsia="仿宋"/>
                <w:b/>
                <w:color w:val="000000"/>
                <w:sz w:val="28"/>
                <w:szCs w:val="28"/>
              </w:rPr>
            </w:pPr>
            <w:r>
              <w:rPr>
                <w:rFonts w:hint="eastAsia" w:ascii="仿宋" w:hAnsi="仿宋" w:eastAsia="仿宋"/>
                <w:b/>
                <w:color w:val="000000"/>
                <w:sz w:val="28"/>
                <w:szCs w:val="28"/>
              </w:rPr>
              <w:t>%</w:t>
            </w:r>
          </w:p>
        </w:tc>
        <w:tc>
          <w:tcPr>
            <w:tcW w:w="828" w:type="dxa"/>
            <w:shd w:val="clear" w:color="auto" w:fill="B2A1C7"/>
            <w:noWrap w:val="0"/>
            <w:vAlign w:val="center"/>
          </w:tcPr>
          <w:p>
            <w:pPr>
              <w:snapToGrid w:val="0"/>
              <w:jc w:val="center"/>
              <w:rPr>
                <w:rFonts w:ascii="仿宋" w:hAnsi="仿宋" w:eastAsia="仿宋"/>
                <w:b/>
                <w:color w:val="000000"/>
                <w:sz w:val="28"/>
                <w:szCs w:val="28"/>
              </w:rPr>
            </w:pPr>
            <w:r>
              <w:rPr>
                <w:rFonts w:hint="eastAsia" w:ascii="仿宋" w:hAnsi="仿宋" w:eastAsia="仿宋"/>
                <w:b/>
                <w:color w:val="000000"/>
                <w:sz w:val="28"/>
                <w:szCs w:val="28"/>
              </w:rPr>
              <w:t>不满意</w:t>
            </w:r>
          </w:p>
        </w:tc>
        <w:tc>
          <w:tcPr>
            <w:tcW w:w="850" w:type="dxa"/>
            <w:shd w:val="clear" w:color="auto" w:fill="B2A1C7"/>
            <w:noWrap w:val="0"/>
            <w:vAlign w:val="center"/>
          </w:tcPr>
          <w:p>
            <w:pPr>
              <w:jc w:val="center"/>
              <w:rPr>
                <w:rFonts w:ascii="仿宋" w:hAnsi="仿宋" w:eastAsia="仿宋"/>
                <w:b/>
                <w:color w:val="000000"/>
                <w:sz w:val="28"/>
                <w:szCs w:val="28"/>
              </w:rPr>
            </w:pPr>
            <w:r>
              <w:rPr>
                <w:rFonts w:hint="eastAsia" w:ascii="仿宋" w:hAnsi="仿宋" w:eastAsia="仿宋"/>
                <w:b/>
                <w:color w:val="000000"/>
                <w:sz w:val="28"/>
                <w:szCs w:val="28"/>
              </w:rPr>
              <w:t>%</w:t>
            </w:r>
          </w:p>
        </w:tc>
      </w:tr>
      <w:tr>
        <w:tblPrEx>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Ex>
        <w:trPr>
          <w:trHeight w:val="624" w:hRule="atLeast"/>
        </w:trPr>
        <w:tc>
          <w:tcPr>
            <w:tcW w:w="1737" w:type="dxa"/>
            <w:shd w:val="clear" w:color="auto" w:fill="DFD8E8"/>
            <w:noWrap w:val="0"/>
            <w:vAlign w:val="center"/>
          </w:tcPr>
          <w:p>
            <w:pPr>
              <w:jc w:val="center"/>
              <w:rPr>
                <w:rFonts w:ascii="仿宋" w:hAnsi="仿宋" w:eastAsia="仿宋" w:cs="Times New Roman"/>
                <w:b/>
                <w:bCs/>
                <w:color w:val="000000"/>
                <w:sz w:val="28"/>
                <w:szCs w:val="28"/>
              </w:rPr>
            </w:pPr>
            <w:r>
              <w:rPr>
                <w:rFonts w:hint="eastAsia" w:ascii="仿宋" w:hAnsi="仿宋" w:eastAsia="仿宋" w:cs="仿宋_GB2312"/>
                <w:b/>
                <w:bCs/>
                <w:color w:val="000000"/>
                <w:sz w:val="28"/>
                <w:szCs w:val="28"/>
              </w:rPr>
              <w:t>思想表现</w:t>
            </w:r>
          </w:p>
        </w:tc>
        <w:tc>
          <w:tcPr>
            <w:tcW w:w="975"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165</w:t>
            </w:r>
          </w:p>
        </w:tc>
        <w:tc>
          <w:tcPr>
            <w:tcW w:w="1575"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165</w:t>
            </w:r>
          </w:p>
        </w:tc>
        <w:tc>
          <w:tcPr>
            <w:tcW w:w="1155"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100.00</w:t>
            </w:r>
          </w:p>
        </w:tc>
        <w:tc>
          <w:tcPr>
            <w:tcW w:w="720"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0</w:t>
            </w:r>
          </w:p>
        </w:tc>
        <w:tc>
          <w:tcPr>
            <w:tcW w:w="915"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0.00</w:t>
            </w:r>
          </w:p>
        </w:tc>
        <w:tc>
          <w:tcPr>
            <w:tcW w:w="828"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0</w:t>
            </w:r>
          </w:p>
        </w:tc>
        <w:tc>
          <w:tcPr>
            <w:tcW w:w="850"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0.00</w:t>
            </w:r>
          </w:p>
        </w:tc>
      </w:tr>
      <w:tr>
        <w:tblPrEx>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Ex>
        <w:trPr>
          <w:trHeight w:val="624" w:hRule="atLeast"/>
        </w:trPr>
        <w:tc>
          <w:tcPr>
            <w:tcW w:w="1737" w:type="dxa"/>
            <w:shd w:val="clear" w:color="auto" w:fill="DFD8E8"/>
            <w:noWrap w:val="0"/>
            <w:vAlign w:val="center"/>
          </w:tcPr>
          <w:p>
            <w:pPr>
              <w:jc w:val="center"/>
              <w:rPr>
                <w:rFonts w:ascii="仿宋" w:hAnsi="仿宋" w:eastAsia="仿宋" w:cs="Times New Roman"/>
                <w:b/>
                <w:bCs/>
                <w:color w:val="000000"/>
                <w:sz w:val="28"/>
                <w:szCs w:val="28"/>
              </w:rPr>
            </w:pPr>
            <w:r>
              <w:rPr>
                <w:rFonts w:hint="eastAsia" w:ascii="仿宋" w:hAnsi="仿宋" w:eastAsia="仿宋" w:cs="Times New Roman"/>
                <w:b/>
                <w:bCs/>
                <w:color w:val="000000"/>
                <w:sz w:val="28"/>
                <w:szCs w:val="28"/>
              </w:rPr>
              <w:t>敬业精神</w:t>
            </w:r>
          </w:p>
        </w:tc>
        <w:tc>
          <w:tcPr>
            <w:tcW w:w="975"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165</w:t>
            </w:r>
          </w:p>
        </w:tc>
        <w:tc>
          <w:tcPr>
            <w:tcW w:w="1575"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161</w:t>
            </w:r>
          </w:p>
        </w:tc>
        <w:tc>
          <w:tcPr>
            <w:tcW w:w="1155"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97.57</w:t>
            </w:r>
          </w:p>
        </w:tc>
        <w:tc>
          <w:tcPr>
            <w:tcW w:w="720"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４</w:t>
            </w:r>
          </w:p>
        </w:tc>
        <w:tc>
          <w:tcPr>
            <w:tcW w:w="915" w:type="dxa"/>
            <w:shd w:val="clear" w:color="auto" w:fill="DFD8E8"/>
            <w:noWrap w:val="0"/>
            <w:vAlign w:val="center"/>
          </w:tcPr>
          <w:p>
            <w:pPr>
              <w:widowControl/>
              <w:jc w:val="center"/>
              <w:rPr>
                <w:rFonts w:ascii="仿宋" w:hAnsi="仿宋" w:eastAsia="仿宋"/>
                <w:color w:val="000000"/>
                <w:kern w:val="0"/>
                <w:sz w:val="28"/>
                <w:szCs w:val="28"/>
              </w:rPr>
            </w:pPr>
            <w:r>
              <w:rPr>
                <w:rFonts w:hint="eastAsia" w:ascii="仿宋" w:hAnsi="仿宋" w:eastAsia="仿宋"/>
                <w:color w:val="000000"/>
                <w:kern w:val="0"/>
                <w:sz w:val="28"/>
                <w:szCs w:val="28"/>
              </w:rPr>
              <w:t>2.42</w:t>
            </w:r>
          </w:p>
        </w:tc>
        <w:tc>
          <w:tcPr>
            <w:tcW w:w="828"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0</w:t>
            </w:r>
          </w:p>
        </w:tc>
        <w:tc>
          <w:tcPr>
            <w:tcW w:w="850"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0.00</w:t>
            </w:r>
          </w:p>
        </w:tc>
      </w:tr>
      <w:tr>
        <w:tblPrEx>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Ex>
        <w:trPr>
          <w:trHeight w:val="624" w:hRule="atLeast"/>
        </w:trPr>
        <w:tc>
          <w:tcPr>
            <w:tcW w:w="1737" w:type="dxa"/>
            <w:shd w:val="clear" w:color="auto" w:fill="DFD8E8"/>
            <w:noWrap w:val="0"/>
            <w:vAlign w:val="center"/>
          </w:tcPr>
          <w:p>
            <w:pPr>
              <w:jc w:val="center"/>
              <w:rPr>
                <w:rFonts w:ascii="仿宋" w:hAnsi="仿宋" w:eastAsia="仿宋" w:cs="Times New Roman"/>
                <w:b/>
                <w:bCs/>
                <w:color w:val="000000"/>
                <w:sz w:val="28"/>
                <w:szCs w:val="28"/>
              </w:rPr>
            </w:pPr>
            <w:r>
              <w:rPr>
                <w:rFonts w:hint="eastAsia" w:ascii="仿宋" w:hAnsi="仿宋" w:eastAsia="仿宋" w:cs="Times New Roman"/>
                <w:b/>
                <w:bCs/>
                <w:color w:val="000000"/>
                <w:sz w:val="28"/>
                <w:szCs w:val="28"/>
              </w:rPr>
              <w:t>专业水平</w:t>
            </w:r>
          </w:p>
        </w:tc>
        <w:tc>
          <w:tcPr>
            <w:tcW w:w="975"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165</w:t>
            </w:r>
          </w:p>
        </w:tc>
        <w:tc>
          <w:tcPr>
            <w:tcW w:w="1575"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163</w:t>
            </w:r>
          </w:p>
        </w:tc>
        <w:tc>
          <w:tcPr>
            <w:tcW w:w="1155"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98.79</w:t>
            </w:r>
          </w:p>
        </w:tc>
        <w:tc>
          <w:tcPr>
            <w:tcW w:w="720"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2</w:t>
            </w:r>
          </w:p>
        </w:tc>
        <w:tc>
          <w:tcPr>
            <w:tcW w:w="915" w:type="dxa"/>
            <w:shd w:val="clear" w:color="auto" w:fill="DFD8E8"/>
            <w:noWrap w:val="0"/>
            <w:vAlign w:val="center"/>
          </w:tcPr>
          <w:p>
            <w:pPr>
              <w:widowControl/>
              <w:jc w:val="center"/>
              <w:rPr>
                <w:rFonts w:ascii="仿宋" w:hAnsi="仿宋" w:eastAsia="仿宋"/>
                <w:color w:val="000000"/>
                <w:kern w:val="0"/>
                <w:sz w:val="28"/>
                <w:szCs w:val="28"/>
              </w:rPr>
            </w:pPr>
            <w:r>
              <w:rPr>
                <w:rFonts w:hint="eastAsia" w:ascii="仿宋" w:hAnsi="仿宋" w:eastAsia="仿宋"/>
                <w:color w:val="000000"/>
                <w:kern w:val="0"/>
                <w:sz w:val="28"/>
                <w:szCs w:val="28"/>
              </w:rPr>
              <w:t>1.21</w:t>
            </w:r>
          </w:p>
        </w:tc>
        <w:tc>
          <w:tcPr>
            <w:tcW w:w="828"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0</w:t>
            </w:r>
          </w:p>
        </w:tc>
        <w:tc>
          <w:tcPr>
            <w:tcW w:w="850"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0.00</w:t>
            </w:r>
          </w:p>
        </w:tc>
      </w:tr>
      <w:tr>
        <w:tblPrEx>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Ex>
        <w:trPr>
          <w:trHeight w:val="624" w:hRule="atLeast"/>
        </w:trPr>
        <w:tc>
          <w:tcPr>
            <w:tcW w:w="1737" w:type="dxa"/>
            <w:shd w:val="clear" w:color="auto" w:fill="DFD8E8"/>
            <w:noWrap w:val="0"/>
            <w:vAlign w:val="center"/>
          </w:tcPr>
          <w:p>
            <w:pPr>
              <w:jc w:val="center"/>
              <w:rPr>
                <w:rFonts w:ascii="仿宋" w:hAnsi="仿宋" w:eastAsia="仿宋" w:cs="Times New Roman"/>
                <w:b/>
                <w:bCs/>
                <w:color w:val="000000"/>
                <w:sz w:val="28"/>
                <w:szCs w:val="28"/>
              </w:rPr>
            </w:pPr>
            <w:r>
              <w:rPr>
                <w:rFonts w:hint="eastAsia" w:ascii="仿宋" w:hAnsi="仿宋" w:eastAsia="仿宋" w:cs="Times New Roman"/>
                <w:b/>
                <w:bCs/>
                <w:color w:val="000000"/>
                <w:sz w:val="28"/>
                <w:szCs w:val="28"/>
              </w:rPr>
              <w:t>基本技能</w:t>
            </w:r>
          </w:p>
        </w:tc>
        <w:tc>
          <w:tcPr>
            <w:tcW w:w="975"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165</w:t>
            </w:r>
          </w:p>
        </w:tc>
        <w:tc>
          <w:tcPr>
            <w:tcW w:w="1575"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162</w:t>
            </w:r>
          </w:p>
        </w:tc>
        <w:tc>
          <w:tcPr>
            <w:tcW w:w="1155"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98.18</w:t>
            </w:r>
          </w:p>
        </w:tc>
        <w:tc>
          <w:tcPr>
            <w:tcW w:w="720" w:type="dxa"/>
            <w:shd w:val="clear" w:color="auto" w:fill="DFD8E8"/>
            <w:noWrap w:val="0"/>
            <w:vAlign w:val="center"/>
          </w:tcPr>
          <w:p>
            <w:pPr>
              <w:jc w:val="center"/>
              <w:rPr>
                <w:rFonts w:ascii="仿宋" w:hAnsi="仿宋" w:eastAsia="仿宋"/>
                <w:color w:val="000000"/>
                <w:kern w:val="0"/>
                <w:sz w:val="28"/>
                <w:szCs w:val="28"/>
              </w:rPr>
            </w:pPr>
            <w:r>
              <w:rPr>
                <w:rFonts w:hint="eastAsia" w:ascii="仿宋" w:hAnsi="仿宋" w:eastAsia="仿宋"/>
                <w:color w:val="000000"/>
                <w:sz w:val="28"/>
                <w:szCs w:val="28"/>
              </w:rPr>
              <w:t>3</w:t>
            </w:r>
          </w:p>
        </w:tc>
        <w:tc>
          <w:tcPr>
            <w:tcW w:w="915" w:type="dxa"/>
            <w:shd w:val="clear" w:color="auto" w:fill="DFD8E8"/>
            <w:noWrap w:val="0"/>
            <w:vAlign w:val="center"/>
          </w:tcPr>
          <w:p>
            <w:pPr>
              <w:widowControl/>
              <w:jc w:val="center"/>
              <w:rPr>
                <w:rFonts w:ascii="仿宋" w:hAnsi="仿宋" w:eastAsia="仿宋"/>
                <w:color w:val="000000"/>
                <w:kern w:val="0"/>
                <w:sz w:val="28"/>
                <w:szCs w:val="28"/>
              </w:rPr>
            </w:pPr>
            <w:r>
              <w:rPr>
                <w:rFonts w:hint="eastAsia" w:ascii="仿宋" w:hAnsi="仿宋" w:eastAsia="仿宋"/>
                <w:color w:val="000000"/>
                <w:kern w:val="0"/>
                <w:sz w:val="28"/>
                <w:szCs w:val="28"/>
              </w:rPr>
              <w:t>1.82</w:t>
            </w:r>
          </w:p>
        </w:tc>
        <w:tc>
          <w:tcPr>
            <w:tcW w:w="828"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0</w:t>
            </w:r>
          </w:p>
        </w:tc>
        <w:tc>
          <w:tcPr>
            <w:tcW w:w="850"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0.00</w:t>
            </w:r>
          </w:p>
        </w:tc>
      </w:tr>
      <w:tr>
        <w:tblPrEx>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Ex>
        <w:trPr>
          <w:trHeight w:val="624" w:hRule="atLeast"/>
        </w:trPr>
        <w:tc>
          <w:tcPr>
            <w:tcW w:w="1737" w:type="dxa"/>
            <w:shd w:val="clear" w:color="auto" w:fill="DFD8E8"/>
            <w:noWrap w:val="0"/>
            <w:vAlign w:val="center"/>
          </w:tcPr>
          <w:p>
            <w:pPr>
              <w:jc w:val="center"/>
              <w:rPr>
                <w:rFonts w:ascii="仿宋" w:hAnsi="仿宋" w:eastAsia="仿宋" w:cs="仿宋_GB2312"/>
                <w:b/>
                <w:bCs/>
                <w:color w:val="000000"/>
                <w:sz w:val="28"/>
                <w:szCs w:val="28"/>
              </w:rPr>
            </w:pPr>
            <w:r>
              <w:rPr>
                <w:rFonts w:hint="eastAsia" w:ascii="仿宋" w:hAnsi="仿宋" w:eastAsia="仿宋" w:cs="仿宋_GB2312"/>
                <w:b/>
                <w:bCs/>
                <w:color w:val="000000"/>
                <w:sz w:val="28"/>
                <w:szCs w:val="28"/>
              </w:rPr>
              <w:t>工作能力</w:t>
            </w:r>
          </w:p>
        </w:tc>
        <w:tc>
          <w:tcPr>
            <w:tcW w:w="975"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165</w:t>
            </w:r>
          </w:p>
        </w:tc>
        <w:tc>
          <w:tcPr>
            <w:tcW w:w="1575"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164</w:t>
            </w:r>
          </w:p>
        </w:tc>
        <w:tc>
          <w:tcPr>
            <w:tcW w:w="1155"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99.39</w:t>
            </w:r>
          </w:p>
        </w:tc>
        <w:tc>
          <w:tcPr>
            <w:tcW w:w="720" w:type="dxa"/>
            <w:shd w:val="clear" w:color="auto" w:fill="DFD8E8"/>
            <w:noWrap w:val="0"/>
            <w:vAlign w:val="center"/>
          </w:tcPr>
          <w:p>
            <w:pPr>
              <w:jc w:val="center"/>
              <w:rPr>
                <w:rFonts w:ascii="仿宋" w:hAnsi="仿宋" w:eastAsia="仿宋"/>
                <w:color w:val="000000"/>
                <w:kern w:val="0"/>
                <w:sz w:val="28"/>
                <w:szCs w:val="28"/>
              </w:rPr>
            </w:pPr>
            <w:r>
              <w:rPr>
                <w:rFonts w:hint="eastAsia" w:ascii="仿宋" w:hAnsi="仿宋" w:eastAsia="仿宋"/>
                <w:color w:val="000000"/>
                <w:sz w:val="28"/>
                <w:szCs w:val="28"/>
              </w:rPr>
              <w:t>1</w:t>
            </w:r>
          </w:p>
        </w:tc>
        <w:tc>
          <w:tcPr>
            <w:tcW w:w="915" w:type="dxa"/>
            <w:shd w:val="clear" w:color="auto" w:fill="DFD8E8"/>
            <w:noWrap w:val="0"/>
            <w:vAlign w:val="center"/>
          </w:tcPr>
          <w:p>
            <w:pPr>
              <w:jc w:val="center"/>
              <w:rPr>
                <w:rFonts w:ascii="仿宋" w:hAnsi="仿宋" w:eastAsia="仿宋"/>
                <w:color w:val="000000"/>
                <w:kern w:val="0"/>
                <w:sz w:val="28"/>
                <w:szCs w:val="28"/>
              </w:rPr>
            </w:pPr>
            <w:r>
              <w:rPr>
                <w:rFonts w:hint="eastAsia" w:ascii="仿宋" w:hAnsi="仿宋" w:eastAsia="仿宋"/>
                <w:color w:val="000000"/>
                <w:sz w:val="28"/>
                <w:szCs w:val="28"/>
              </w:rPr>
              <w:t>0.61</w:t>
            </w:r>
          </w:p>
        </w:tc>
        <w:tc>
          <w:tcPr>
            <w:tcW w:w="828"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0</w:t>
            </w:r>
          </w:p>
        </w:tc>
        <w:tc>
          <w:tcPr>
            <w:tcW w:w="850"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0.00</w:t>
            </w:r>
          </w:p>
        </w:tc>
      </w:tr>
      <w:tr>
        <w:tblPrEx>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Ex>
        <w:trPr>
          <w:trHeight w:val="624" w:hRule="atLeast"/>
        </w:trPr>
        <w:tc>
          <w:tcPr>
            <w:tcW w:w="1737" w:type="dxa"/>
            <w:shd w:val="clear" w:color="auto" w:fill="DFD8E8"/>
            <w:noWrap w:val="0"/>
            <w:vAlign w:val="center"/>
          </w:tcPr>
          <w:p>
            <w:pPr>
              <w:jc w:val="center"/>
              <w:rPr>
                <w:rFonts w:ascii="仿宋" w:hAnsi="仿宋" w:eastAsia="仿宋" w:cs="Times New Roman"/>
                <w:b/>
                <w:bCs/>
                <w:color w:val="000000"/>
                <w:sz w:val="28"/>
                <w:szCs w:val="28"/>
              </w:rPr>
            </w:pPr>
            <w:r>
              <w:rPr>
                <w:rFonts w:hint="eastAsia" w:ascii="仿宋" w:hAnsi="仿宋" w:eastAsia="仿宋" w:cs="仿宋_GB2312"/>
                <w:b/>
                <w:bCs/>
                <w:color w:val="000000"/>
                <w:sz w:val="28"/>
                <w:szCs w:val="28"/>
              </w:rPr>
              <w:t>学习能力</w:t>
            </w:r>
          </w:p>
        </w:tc>
        <w:tc>
          <w:tcPr>
            <w:tcW w:w="975"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165</w:t>
            </w:r>
          </w:p>
        </w:tc>
        <w:tc>
          <w:tcPr>
            <w:tcW w:w="1575"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162</w:t>
            </w:r>
          </w:p>
        </w:tc>
        <w:tc>
          <w:tcPr>
            <w:tcW w:w="1155"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98.18</w:t>
            </w:r>
          </w:p>
        </w:tc>
        <w:tc>
          <w:tcPr>
            <w:tcW w:w="720" w:type="dxa"/>
            <w:shd w:val="clear" w:color="auto" w:fill="DFD8E8"/>
            <w:noWrap w:val="0"/>
            <w:vAlign w:val="center"/>
          </w:tcPr>
          <w:p>
            <w:pPr>
              <w:widowControl/>
              <w:jc w:val="center"/>
              <w:rPr>
                <w:rFonts w:ascii="仿宋" w:hAnsi="仿宋" w:eastAsia="仿宋"/>
                <w:color w:val="000000"/>
                <w:kern w:val="0"/>
                <w:sz w:val="28"/>
                <w:szCs w:val="28"/>
              </w:rPr>
            </w:pPr>
            <w:r>
              <w:rPr>
                <w:rFonts w:hint="eastAsia" w:ascii="仿宋" w:hAnsi="仿宋" w:eastAsia="仿宋"/>
                <w:color w:val="000000"/>
                <w:kern w:val="0"/>
                <w:sz w:val="28"/>
                <w:szCs w:val="28"/>
              </w:rPr>
              <w:t>3</w:t>
            </w:r>
          </w:p>
        </w:tc>
        <w:tc>
          <w:tcPr>
            <w:tcW w:w="915" w:type="dxa"/>
            <w:shd w:val="clear" w:color="auto" w:fill="DFD8E8"/>
            <w:noWrap w:val="0"/>
            <w:vAlign w:val="center"/>
          </w:tcPr>
          <w:p>
            <w:pPr>
              <w:widowControl/>
              <w:jc w:val="center"/>
              <w:rPr>
                <w:rFonts w:ascii="仿宋" w:hAnsi="仿宋" w:eastAsia="仿宋"/>
                <w:color w:val="000000"/>
                <w:kern w:val="0"/>
                <w:sz w:val="28"/>
                <w:szCs w:val="28"/>
              </w:rPr>
            </w:pPr>
            <w:r>
              <w:rPr>
                <w:rFonts w:hint="eastAsia" w:ascii="仿宋" w:hAnsi="仿宋" w:eastAsia="仿宋"/>
                <w:color w:val="000000"/>
                <w:kern w:val="0"/>
                <w:sz w:val="28"/>
                <w:szCs w:val="28"/>
              </w:rPr>
              <w:t>1.82</w:t>
            </w:r>
          </w:p>
        </w:tc>
        <w:tc>
          <w:tcPr>
            <w:tcW w:w="828"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0</w:t>
            </w:r>
          </w:p>
        </w:tc>
        <w:tc>
          <w:tcPr>
            <w:tcW w:w="850"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0.00</w:t>
            </w:r>
          </w:p>
        </w:tc>
      </w:tr>
      <w:tr>
        <w:tblPrEx>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Ex>
        <w:trPr>
          <w:trHeight w:val="624" w:hRule="atLeast"/>
        </w:trPr>
        <w:tc>
          <w:tcPr>
            <w:tcW w:w="1737" w:type="dxa"/>
            <w:shd w:val="clear" w:color="auto" w:fill="DFD8E8"/>
            <w:noWrap w:val="0"/>
            <w:vAlign w:val="center"/>
          </w:tcPr>
          <w:p>
            <w:pPr>
              <w:jc w:val="center"/>
              <w:rPr>
                <w:rFonts w:ascii="仿宋" w:hAnsi="仿宋" w:eastAsia="仿宋" w:cs="Times New Roman"/>
                <w:b/>
                <w:bCs/>
                <w:color w:val="000000"/>
                <w:sz w:val="28"/>
                <w:szCs w:val="28"/>
              </w:rPr>
            </w:pPr>
            <w:r>
              <w:rPr>
                <w:rFonts w:hint="eastAsia" w:ascii="仿宋" w:hAnsi="仿宋" w:eastAsia="仿宋" w:cs="仿宋_GB2312"/>
                <w:b/>
                <w:bCs/>
                <w:color w:val="000000"/>
                <w:sz w:val="28"/>
                <w:szCs w:val="28"/>
              </w:rPr>
              <w:t>适应能力</w:t>
            </w:r>
          </w:p>
        </w:tc>
        <w:tc>
          <w:tcPr>
            <w:tcW w:w="975"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165</w:t>
            </w:r>
          </w:p>
        </w:tc>
        <w:tc>
          <w:tcPr>
            <w:tcW w:w="1575"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165</w:t>
            </w:r>
          </w:p>
        </w:tc>
        <w:tc>
          <w:tcPr>
            <w:tcW w:w="1155"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100.00</w:t>
            </w:r>
          </w:p>
        </w:tc>
        <w:tc>
          <w:tcPr>
            <w:tcW w:w="720" w:type="dxa"/>
            <w:shd w:val="clear" w:color="auto" w:fill="DFD8E8"/>
            <w:noWrap w:val="0"/>
            <w:vAlign w:val="center"/>
          </w:tcPr>
          <w:p>
            <w:pPr>
              <w:widowControl/>
              <w:jc w:val="center"/>
              <w:rPr>
                <w:rFonts w:ascii="仿宋" w:hAnsi="仿宋" w:eastAsia="仿宋"/>
                <w:color w:val="000000"/>
                <w:kern w:val="0"/>
                <w:sz w:val="28"/>
                <w:szCs w:val="28"/>
              </w:rPr>
            </w:pPr>
            <w:r>
              <w:rPr>
                <w:rFonts w:hint="eastAsia" w:ascii="仿宋" w:hAnsi="仿宋" w:eastAsia="仿宋"/>
                <w:color w:val="000000"/>
                <w:kern w:val="0"/>
                <w:sz w:val="28"/>
                <w:szCs w:val="28"/>
              </w:rPr>
              <w:t>0</w:t>
            </w:r>
          </w:p>
        </w:tc>
        <w:tc>
          <w:tcPr>
            <w:tcW w:w="915" w:type="dxa"/>
            <w:shd w:val="clear" w:color="auto" w:fill="DFD8E8"/>
            <w:noWrap w:val="0"/>
            <w:vAlign w:val="center"/>
          </w:tcPr>
          <w:p>
            <w:pPr>
              <w:widowControl/>
              <w:jc w:val="center"/>
              <w:rPr>
                <w:rFonts w:ascii="仿宋" w:hAnsi="仿宋" w:eastAsia="仿宋"/>
                <w:color w:val="000000"/>
                <w:kern w:val="0"/>
                <w:sz w:val="28"/>
                <w:szCs w:val="28"/>
              </w:rPr>
            </w:pPr>
            <w:r>
              <w:rPr>
                <w:rFonts w:hint="eastAsia" w:ascii="仿宋" w:hAnsi="仿宋" w:eastAsia="仿宋"/>
                <w:color w:val="000000"/>
                <w:kern w:val="0"/>
                <w:sz w:val="28"/>
                <w:szCs w:val="28"/>
              </w:rPr>
              <w:t>0,00</w:t>
            </w:r>
          </w:p>
        </w:tc>
        <w:tc>
          <w:tcPr>
            <w:tcW w:w="828"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0</w:t>
            </w:r>
          </w:p>
        </w:tc>
        <w:tc>
          <w:tcPr>
            <w:tcW w:w="850"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0.00</w:t>
            </w:r>
          </w:p>
        </w:tc>
      </w:tr>
      <w:tr>
        <w:tblPrEx>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Ex>
        <w:trPr>
          <w:trHeight w:val="624" w:hRule="atLeast"/>
        </w:trPr>
        <w:tc>
          <w:tcPr>
            <w:tcW w:w="1737" w:type="dxa"/>
            <w:shd w:val="clear" w:color="auto" w:fill="DFD8E8"/>
            <w:noWrap w:val="0"/>
            <w:vAlign w:val="center"/>
          </w:tcPr>
          <w:p>
            <w:pPr>
              <w:jc w:val="center"/>
              <w:rPr>
                <w:rFonts w:ascii="仿宋" w:hAnsi="仿宋" w:eastAsia="仿宋" w:cs="Times New Roman"/>
                <w:b/>
                <w:bCs/>
                <w:color w:val="000000"/>
                <w:sz w:val="28"/>
                <w:szCs w:val="28"/>
              </w:rPr>
            </w:pPr>
            <w:r>
              <w:rPr>
                <w:rFonts w:hint="eastAsia" w:ascii="仿宋" w:hAnsi="仿宋" w:eastAsia="仿宋" w:cs="仿宋_GB2312"/>
                <w:b/>
                <w:bCs/>
                <w:color w:val="000000"/>
                <w:sz w:val="28"/>
                <w:szCs w:val="28"/>
              </w:rPr>
              <w:t>创新能力</w:t>
            </w:r>
          </w:p>
        </w:tc>
        <w:tc>
          <w:tcPr>
            <w:tcW w:w="975"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165</w:t>
            </w:r>
          </w:p>
        </w:tc>
        <w:tc>
          <w:tcPr>
            <w:tcW w:w="1575"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163</w:t>
            </w:r>
          </w:p>
        </w:tc>
        <w:tc>
          <w:tcPr>
            <w:tcW w:w="1155"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98.79</w:t>
            </w:r>
          </w:p>
        </w:tc>
        <w:tc>
          <w:tcPr>
            <w:tcW w:w="720"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2</w:t>
            </w:r>
          </w:p>
        </w:tc>
        <w:tc>
          <w:tcPr>
            <w:tcW w:w="915" w:type="dxa"/>
            <w:shd w:val="clear" w:color="auto" w:fill="DFD8E8"/>
            <w:noWrap w:val="0"/>
            <w:vAlign w:val="center"/>
          </w:tcPr>
          <w:p>
            <w:pPr>
              <w:widowControl/>
              <w:jc w:val="center"/>
              <w:rPr>
                <w:rFonts w:ascii="仿宋" w:hAnsi="仿宋" w:eastAsia="仿宋"/>
                <w:color w:val="000000"/>
                <w:kern w:val="0"/>
                <w:sz w:val="28"/>
                <w:szCs w:val="28"/>
              </w:rPr>
            </w:pPr>
            <w:r>
              <w:rPr>
                <w:rFonts w:hint="eastAsia" w:ascii="仿宋" w:hAnsi="仿宋" w:eastAsia="仿宋"/>
                <w:color w:val="000000"/>
                <w:kern w:val="0"/>
                <w:sz w:val="28"/>
                <w:szCs w:val="28"/>
              </w:rPr>
              <w:t>1.21</w:t>
            </w:r>
          </w:p>
        </w:tc>
        <w:tc>
          <w:tcPr>
            <w:tcW w:w="828"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0</w:t>
            </w:r>
          </w:p>
        </w:tc>
        <w:tc>
          <w:tcPr>
            <w:tcW w:w="850"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0.00</w:t>
            </w:r>
          </w:p>
        </w:tc>
      </w:tr>
      <w:tr>
        <w:tblPrEx>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Ex>
        <w:trPr>
          <w:trHeight w:val="624" w:hRule="atLeast"/>
        </w:trPr>
        <w:tc>
          <w:tcPr>
            <w:tcW w:w="1737" w:type="dxa"/>
            <w:shd w:val="clear" w:color="auto" w:fill="DFD8E8"/>
            <w:noWrap w:val="0"/>
            <w:vAlign w:val="center"/>
          </w:tcPr>
          <w:p>
            <w:pPr>
              <w:ind w:left="-105" w:leftChars="-50" w:right="-105" w:rightChars="-50"/>
              <w:jc w:val="center"/>
              <w:rPr>
                <w:rFonts w:ascii="仿宋" w:hAnsi="仿宋" w:eastAsia="仿宋" w:cs="Times New Roman"/>
                <w:b/>
                <w:bCs/>
                <w:color w:val="000000"/>
                <w:sz w:val="28"/>
                <w:szCs w:val="28"/>
              </w:rPr>
            </w:pPr>
            <w:r>
              <w:rPr>
                <w:rFonts w:hint="eastAsia" w:ascii="仿宋" w:hAnsi="仿宋" w:eastAsia="仿宋" w:cs="仿宋_GB2312"/>
                <w:b/>
                <w:bCs/>
                <w:color w:val="000000"/>
                <w:sz w:val="28"/>
                <w:szCs w:val="28"/>
              </w:rPr>
              <w:t>组织协调能力</w:t>
            </w:r>
          </w:p>
        </w:tc>
        <w:tc>
          <w:tcPr>
            <w:tcW w:w="975"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165</w:t>
            </w:r>
          </w:p>
        </w:tc>
        <w:tc>
          <w:tcPr>
            <w:tcW w:w="1575"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163</w:t>
            </w:r>
          </w:p>
        </w:tc>
        <w:tc>
          <w:tcPr>
            <w:tcW w:w="1155"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98.79</w:t>
            </w:r>
          </w:p>
        </w:tc>
        <w:tc>
          <w:tcPr>
            <w:tcW w:w="720"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2</w:t>
            </w:r>
          </w:p>
        </w:tc>
        <w:tc>
          <w:tcPr>
            <w:tcW w:w="915" w:type="dxa"/>
            <w:shd w:val="clear" w:color="auto" w:fill="DFD8E8"/>
            <w:noWrap w:val="0"/>
            <w:vAlign w:val="center"/>
          </w:tcPr>
          <w:p>
            <w:pPr>
              <w:widowControl/>
              <w:jc w:val="center"/>
              <w:rPr>
                <w:rFonts w:ascii="仿宋" w:hAnsi="仿宋" w:eastAsia="仿宋"/>
                <w:color w:val="000000"/>
                <w:kern w:val="0"/>
                <w:sz w:val="28"/>
                <w:szCs w:val="28"/>
              </w:rPr>
            </w:pPr>
            <w:r>
              <w:rPr>
                <w:rFonts w:hint="eastAsia" w:ascii="仿宋" w:hAnsi="仿宋" w:eastAsia="仿宋"/>
                <w:color w:val="000000"/>
                <w:kern w:val="0"/>
                <w:sz w:val="28"/>
                <w:szCs w:val="28"/>
              </w:rPr>
              <w:t>1.21</w:t>
            </w:r>
          </w:p>
        </w:tc>
        <w:tc>
          <w:tcPr>
            <w:tcW w:w="828"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0</w:t>
            </w:r>
          </w:p>
        </w:tc>
        <w:tc>
          <w:tcPr>
            <w:tcW w:w="850" w:type="dxa"/>
            <w:shd w:val="clear" w:color="auto" w:fill="DFD8E8"/>
            <w:noWrap w:val="0"/>
            <w:vAlign w:val="center"/>
          </w:tcPr>
          <w:p>
            <w:pPr>
              <w:jc w:val="center"/>
              <w:rPr>
                <w:rFonts w:ascii="仿宋" w:hAnsi="仿宋" w:eastAsia="仿宋"/>
                <w:color w:val="000000"/>
                <w:sz w:val="28"/>
                <w:szCs w:val="28"/>
              </w:rPr>
            </w:pPr>
            <w:r>
              <w:rPr>
                <w:rFonts w:hint="eastAsia" w:ascii="仿宋" w:hAnsi="仿宋" w:eastAsia="仿宋"/>
                <w:color w:val="000000"/>
                <w:sz w:val="28"/>
                <w:szCs w:val="28"/>
              </w:rPr>
              <w:t>0.00</w:t>
            </w:r>
          </w:p>
        </w:tc>
      </w:tr>
    </w:tbl>
    <w:p>
      <w:pPr>
        <w:pStyle w:val="2"/>
        <w:spacing w:beforeLines="100" w:afterLines="100" w:line="240" w:lineRule="auto"/>
        <w:jc w:val="center"/>
        <w:rPr>
          <w:rFonts w:ascii="黑体" w:hAnsi="黑体" w:eastAsia="黑体"/>
          <w:color w:val="1F497D"/>
          <w:kern w:val="0"/>
          <w:sz w:val="32"/>
          <w:szCs w:val="32"/>
        </w:rPr>
      </w:pPr>
      <w:bookmarkStart w:id="69" w:name="_Toc4601"/>
      <w:bookmarkStart w:id="70" w:name="_Toc21742"/>
      <w:r>
        <w:rPr>
          <w:rFonts w:hint="eastAsia" w:ascii="黑体" w:hAnsi="黑体" w:eastAsia="黑体"/>
          <w:color w:val="1F497D"/>
          <w:kern w:val="0"/>
          <w:sz w:val="32"/>
          <w:szCs w:val="32"/>
        </w:rPr>
        <w:t>第四部分</w:t>
      </w:r>
      <w:r>
        <w:rPr>
          <w:rFonts w:ascii="黑体" w:hAnsi="黑体" w:eastAsia="黑体"/>
          <w:color w:val="1F497D"/>
          <w:kern w:val="0"/>
          <w:sz w:val="32"/>
          <w:szCs w:val="32"/>
        </w:rPr>
        <w:t xml:space="preserve">  </w:t>
      </w:r>
      <w:r>
        <w:rPr>
          <w:rFonts w:hint="eastAsia" w:ascii="黑体" w:hAnsi="黑体" w:eastAsia="黑体"/>
          <w:color w:val="1F497D"/>
          <w:kern w:val="0"/>
          <w:sz w:val="32"/>
          <w:szCs w:val="32"/>
        </w:rPr>
        <w:t>对教育教学的反馈</w:t>
      </w:r>
      <w:bookmarkEnd w:id="69"/>
      <w:bookmarkEnd w:id="70"/>
    </w:p>
    <w:p>
      <w:pPr>
        <w:ind w:firstLine="560" w:firstLineChars="200"/>
        <w:rPr>
          <w:rFonts w:ascii="仿宋_GB2312" w:hAnsi="宋体" w:eastAsia="仿宋_GB2312"/>
          <w:color w:val="000000"/>
          <w:sz w:val="28"/>
          <w:szCs w:val="28"/>
        </w:rPr>
      </w:pPr>
      <w:bookmarkStart w:id="71" w:name="_Toc30978"/>
      <w:bookmarkStart w:id="72" w:name="_Toc27020"/>
      <w:bookmarkStart w:id="73" w:name="_Toc22821"/>
      <w:bookmarkStart w:id="74" w:name="_Toc437501635"/>
      <w:r>
        <w:rPr>
          <w:rFonts w:hint="eastAsia" w:ascii="仿宋_GB2312" w:hAnsi="宋体" w:eastAsia="仿宋_GB2312"/>
          <w:color w:val="000000"/>
          <w:sz w:val="28"/>
          <w:szCs w:val="28"/>
        </w:rPr>
        <w:t>学校逐步重视就业对招生、人才培养、学科建设的反馈作用，建立健全了就业反馈机制，加强了就业与校内各部门之间的数据互通、资源共享，为学校、二级学院决策提供宽广的数据支撑，使人才培养与社会需求衔接更加紧密。</w:t>
      </w:r>
      <w:bookmarkEnd w:id="71"/>
      <w:bookmarkEnd w:id="72"/>
      <w:bookmarkEnd w:id="73"/>
    </w:p>
    <w:bookmarkEnd w:id="74"/>
    <w:p>
      <w:pPr>
        <w:pStyle w:val="3"/>
        <w:spacing w:before="0" w:after="0"/>
        <w:rPr>
          <w:rFonts w:ascii="仿宋_GB2312" w:eastAsia="仿宋_GB2312"/>
          <w:color w:val="1F497D"/>
          <w:sz w:val="30"/>
          <w:szCs w:val="30"/>
        </w:rPr>
      </w:pPr>
      <w:bookmarkStart w:id="75" w:name="_Toc31728"/>
      <w:bookmarkStart w:id="76" w:name="_Toc22431"/>
      <w:bookmarkStart w:id="77" w:name="_Toc437032053"/>
      <w:bookmarkStart w:id="78" w:name="_Toc437501636"/>
      <w:r>
        <w:rPr>
          <w:rFonts w:hint="eastAsia" w:ascii="仿宋_GB2312" w:eastAsia="仿宋_GB2312"/>
          <w:color w:val="1F497D"/>
          <w:sz w:val="30"/>
          <w:szCs w:val="30"/>
        </w:rPr>
        <w:t>4.1以就业为抓手，建立招生、专业设置与就业良性联动机制</w:t>
      </w:r>
      <w:bookmarkEnd w:id="75"/>
      <w:bookmarkEnd w:id="76"/>
    </w:p>
    <w:bookmarkEnd w:id="77"/>
    <w:bookmarkEnd w:id="78"/>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学校每年召开招生听证会，将各专业就业率、就业质量和市场需求等数据作为每年调整招生专业设置及招生人数设定的重要依据之一，建立和完善就业与招生计划的联动机制，建立健全激励和约束机制，根据就业情况及时对招生计划、专业设置等进行合理调整和改善，逐步形成了就业与招生、专业设置的良性互动。</w:t>
      </w:r>
      <w:bookmarkStart w:id="79" w:name="_Toc6508"/>
    </w:p>
    <w:p>
      <w:pPr>
        <w:pStyle w:val="3"/>
        <w:spacing w:before="0" w:after="0"/>
        <w:rPr>
          <w:rFonts w:ascii="仿宋_GB2312" w:eastAsia="仿宋_GB2312"/>
          <w:color w:val="1F497D"/>
          <w:sz w:val="30"/>
          <w:szCs w:val="30"/>
        </w:rPr>
      </w:pPr>
      <w:bookmarkStart w:id="80" w:name="_Toc24055"/>
      <w:r>
        <w:rPr>
          <w:rFonts w:hint="eastAsia" w:ascii="仿宋_GB2312" w:eastAsia="仿宋_GB2312"/>
          <w:color w:val="1F497D"/>
          <w:sz w:val="30"/>
          <w:szCs w:val="30"/>
        </w:rPr>
        <w:t>4.2以市场为导向，构建招生、人才培养与社会需求内在关联体系</w:t>
      </w:r>
      <w:bookmarkEnd w:id="79"/>
      <w:bookmarkEnd w:id="80"/>
    </w:p>
    <w:p>
      <w:pPr>
        <w:ind w:firstLine="555"/>
        <w:rPr>
          <w:rFonts w:ascii="仿宋_GB2312" w:hAnsi="宋体" w:eastAsia="仿宋_GB2312"/>
          <w:color w:val="000000"/>
          <w:sz w:val="28"/>
          <w:szCs w:val="28"/>
        </w:rPr>
      </w:pPr>
      <w:r>
        <w:rPr>
          <w:rFonts w:hint="eastAsia" w:ascii="仿宋_GB2312" w:hAnsi="宋体" w:eastAsia="仿宋_GB2312"/>
          <w:color w:val="000000"/>
          <w:sz w:val="28"/>
          <w:szCs w:val="28"/>
        </w:rPr>
        <w:t>毕业生调查是学校人才培养质量评价的一部分，学校持续开展就业情况分析研究、毕业生就业与培养质量以及校友等各类调研，引入毕业生就业和社会需求双向信息反馈机制，通过开展问卷调查和访谈调研，听取毕业生和用人单位对教育教学的反馈建议，了解学生对人才培养工作的评价，为学校改革和发展提供决策参考。每年基于统计数据撰写了《湖南财政经济学院毕业生就业质量报告》、《湖南财政经济学院毕业生就业与培养质量调查报告》，同时，建立由教务处、招生就业处、各二级学院等学生培养单位为主的领导小组，召开专题会议，分析学生就业和校友发展情况，将研究信息及时反馈到人才培养的各个环节，有效地总结人才成长规律，找准社会需求，推动学校教育教学改革。</w:t>
      </w:r>
    </w:p>
    <w:p>
      <w:pPr>
        <w:pStyle w:val="3"/>
        <w:spacing w:before="0" w:after="0"/>
        <w:rPr>
          <w:rFonts w:ascii="仿宋_GB2312" w:eastAsia="仿宋_GB2312"/>
          <w:color w:val="1F497D"/>
          <w:sz w:val="30"/>
          <w:szCs w:val="30"/>
        </w:rPr>
      </w:pPr>
      <w:bookmarkStart w:id="81" w:name="_Toc24844"/>
      <w:bookmarkStart w:id="82" w:name="_Toc16524"/>
      <w:r>
        <w:rPr>
          <w:rFonts w:hint="eastAsia" w:ascii="仿宋_GB2312" w:eastAsia="仿宋_GB2312"/>
          <w:color w:val="1F497D"/>
          <w:sz w:val="30"/>
          <w:szCs w:val="30"/>
        </w:rPr>
        <w:t>4.3用人单位对我校毕业生质量的评价</w:t>
      </w:r>
      <w:bookmarkEnd w:id="81"/>
      <w:bookmarkEnd w:id="82"/>
    </w:p>
    <w:p>
      <w:pPr>
        <w:ind w:firstLine="570"/>
        <w:rPr>
          <w:rFonts w:ascii="仿宋_GB2312" w:hAnsi="宋体" w:eastAsia="仿宋_GB2312"/>
          <w:color w:val="000000"/>
          <w:sz w:val="28"/>
          <w:szCs w:val="28"/>
        </w:rPr>
      </w:pPr>
      <w:r>
        <w:rPr>
          <w:rFonts w:hint="eastAsia" w:ascii="仿宋_GB2312" w:hAnsi="宋体" w:eastAsia="仿宋_GB2312"/>
          <w:color w:val="000000"/>
          <w:sz w:val="28"/>
          <w:szCs w:val="28"/>
        </w:rPr>
        <w:t>2019年，学校通过寄送调查问卷、电话回访、邮件、就业走访以及配合湖南省就业指导中心</w:t>
      </w:r>
      <w:r>
        <w:rPr>
          <w:rFonts w:hint="eastAsia" w:ascii="仿宋_GB2312" w:hAnsi="宋体" w:eastAsia="仿宋_GB2312"/>
          <w:color w:val="262626"/>
          <w:sz w:val="28"/>
          <w:szCs w:val="28"/>
          <w:shd w:val="clear" w:color="auto" w:fill="FFFFFF"/>
        </w:rPr>
        <w:t>第三方专业机构</w:t>
      </w:r>
      <w:r>
        <w:rPr>
          <w:rFonts w:hint="eastAsia" w:ascii="仿宋_GB2312" w:hAnsi="宋体" w:eastAsia="仿宋_GB2312"/>
          <w:color w:val="000000"/>
          <w:sz w:val="28"/>
          <w:szCs w:val="28"/>
        </w:rPr>
        <w:t>等方式，对用人单位进行了毕业生满意度随机问卷调查，收回有效问卷165份。用人单位普遍反映，我校毕业生在职业道德、敬业精神、心理素质、团队合作等方面表现优异，在理论水平、专业知识结构、技能掌握等专业素质方面基础扎实、运用灵活，在业务能力、创新能力、学习能力等综合素质上都显示出较高的水平。同时也说明了近几年我校对学生培养目标的确定是比较合理的，在教学与就业指导中对学生专业知识、创新能力和个人素质的培养也取得了一定的效果，具体情况见图4-1。</w:t>
      </w:r>
    </w:p>
    <w:p>
      <w:pPr>
        <w:jc w:val="center"/>
        <w:rPr>
          <w:rFonts w:ascii="仿宋_GB2312" w:eastAsia="仿宋_GB2312"/>
          <w:b/>
          <w:sz w:val="30"/>
          <w:szCs w:val="30"/>
        </w:rPr>
      </w:pPr>
      <w:r>
        <w:rPr>
          <w:rFonts w:hint="eastAsia" w:ascii="仿宋_GB2312" w:eastAsia="仿宋_GB2312"/>
          <w:b/>
          <w:sz w:val="30"/>
          <w:szCs w:val="30"/>
        </w:rPr>
        <w:t>图4-1  用人单位对我校2019届毕业生</w:t>
      </w:r>
      <w:r>
        <w:rPr>
          <w:rFonts w:hint="eastAsia" w:ascii="仿宋_GB2312" w:eastAsia="仿宋_GB2312"/>
          <w:b/>
          <w:color w:val="000000"/>
          <w:sz w:val="30"/>
          <w:szCs w:val="30"/>
        </w:rPr>
        <w:t>质量</w:t>
      </w:r>
      <w:r>
        <w:rPr>
          <w:rFonts w:hint="eastAsia" w:ascii="仿宋_GB2312" w:eastAsia="仿宋_GB2312"/>
          <w:b/>
          <w:sz w:val="30"/>
          <w:szCs w:val="30"/>
        </w:rPr>
        <w:t>评价图</w:t>
      </w:r>
    </w:p>
    <w:p>
      <w:r>
        <w:drawing>
          <wp:inline distT="0" distB="0" distL="114300" distR="114300">
            <wp:extent cx="5276850" cy="2667000"/>
            <wp:effectExtent l="4445" t="4445" r="14605" b="14605"/>
            <wp:docPr id="13" name="图表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
      <w:pPr>
        <w:pStyle w:val="3"/>
        <w:spacing w:before="0" w:after="0"/>
        <w:rPr>
          <w:rFonts w:ascii="仿宋_GB2312" w:eastAsia="仿宋_GB2312"/>
          <w:color w:val="1F497D"/>
          <w:sz w:val="30"/>
          <w:szCs w:val="30"/>
        </w:rPr>
      </w:pPr>
      <w:bookmarkStart w:id="83" w:name="_Toc13635"/>
      <w:bookmarkStart w:id="84" w:name="_Toc390"/>
      <w:r>
        <w:rPr>
          <w:rFonts w:hint="eastAsia" w:ascii="仿宋_GB2312" w:eastAsia="仿宋_GB2312"/>
          <w:color w:val="1F497D"/>
          <w:sz w:val="30"/>
          <w:szCs w:val="30"/>
        </w:rPr>
        <w:t>4.4毕业生对学校人才培养满意度</w:t>
      </w:r>
      <w:bookmarkEnd w:id="83"/>
      <w:r>
        <w:rPr>
          <w:rFonts w:hint="eastAsia" w:ascii="仿宋_GB2312" w:eastAsia="仿宋_GB2312"/>
          <w:color w:val="1F497D"/>
          <w:sz w:val="30"/>
          <w:szCs w:val="30"/>
        </w:rPr>
        <w:t>的评价</w:t>
      </w:r>
      <w:bookmarkEnd w:id="84"/>
    </w:p>
    <w:p>
      <w:pPr>
        <w:ind w:firstLine="560" w:firstLineChars="200"/>
        <w:jc w:val="left"/>
        <w:rPr>
          <w:rFonts w:ascii="仿宋_GB2312" w:hAnsi="宋体" w:eastAsia="仿宋_GB2312"/>
          <w:b/>
          <w:sz w:val="28"/>
          <w:szCs w:val="28"/>
        </w:rPr>
      </w:pPr>
      <w:r>
        <w:rPr>
          <w:rFonts w:hint="eastAsia" w:ascii="仿宋_GB2312" w:hAnsi="宋体" w:eastAsia="仿宋_GB2312"/>
          <w:color w:val="000000"/>
          <w:sz w:val="28"/>
          <w:szCs w:val="28"/>
        </w:rPr>
        <w:t>为深入了解我校人才培养情况，2019年，学校配合湖南省就业指导中心</w:t>
      </w:r>
      <w:r>
        <w:rPr>
          <w:rFonts w:hint="eastAsia" w:ascii="仿宋_GB2312" w:hAnsi="宋体" w:eastAsia="仿宋_GB2312"/>
          <w:color w:val="262626"/>
          <w:sz w:val="28"/>
          <w:szCs w:val="28"/>
          <w:shd w:val="clear" w:color="auto" w:fill="FFFFFF"/>
        </w:rPr>
        <w:t>第三方专业机构</w:t>
      </w:r>
      <w:r>
        <w:rPr>
          <w:rFonts w:hint="eastAsia" w:ascii="仿宋_GB2312" w:hAnsi="宋体" w:eastAsia="仿宋_GB2312"/>
          <w:color w:val="000000"/>
          <w:sz w:val="28"/>
          <w:szCs w:val="28"/>
        </w:rPr>
        <w:t>，以调研问卷的形式对毕业生进行随机问卷调查。收回有效问卷2439份。在本次调查涉及的4项评价指标中，“母校教师授课的情况</w:t>
      </w:r>
      <w:r>
        <w:rPr>
          <w:rFonts w:hint="eastAsia" w:ascii="仿宋_GB2312" w:hAnsi="宋体" w:eastAsia="仿宋_GB2312"/>
          <w:color w:val="000000"/>
          <w:spacing w:val="-6"/>
          <w:sz w:val="28"/>
          <w:szCs w:val="28"/>
        </w:rPr>
        <w:t>”</w:t>
      </w:r>
      <w:r>
        <w:rPr>
          <w:rFonts w:hint="eastAsia" w:ascii="仿宋_GB2312" w:hAnsi="宋体" w:eastAsia="仿宋_GB2312"/>
          <w:color w:val="000000"/>
          <w:sz w:val="28"/>
          <w:szCs w:val="28"/>
        </w:rPr>
        <w:t xml:space="preserve"> “母校的专业设置” “母校的实践教学（含实习、实践、见习）情况”和“母校的整体人才培养方案”等评价指标得到了毕业生充分的肯定。具体情况见图4-2。</w:t>
      </w:r>
    </w:p>
    <w:p>
      <w:pPr>
        <w:jc w:val="center"/>
        <w:rPr>
          <w:rFonts w:ascii="仿宋_GB2312" w:eastAsia="仿宋_GB2312"/>
          <w:b/>
          <w:color w:val="000000"/>
          <w:sz w:val="30"/>
          <w:szCs w:val="30"/>
        </w:rPr>
      </w:pPr>
      <w:r>
        <w:rPr>
          <w:rFonts w:hint="eastAsia" w:ascii="仿宋_GB2312" w:eastAsia="仿宋_GB2312"/>
          <w:b/>
          <w:color w:val="000000"/>
          <w:sz w:val="30"/>
          <w:szCs w:val="30"/>
        </w:rPr>
        <w:t>图</w:t>
      </w:r>
      <w:r>
        <w:rPr>
          <w:rFonts w:ascii="仿宋_GB2312" w:eastAsia="仿宋_GB2312"/>
          <w:b/>
          <w:color w:val="000000"/>
          <w:sz w:val="30"/>
          <w:szCs w:val="30"/>
        </w:rPr>
        <w:t>4-</w:t>
      </w:r>
      <w:r>
        <w:rPr>
          <w:rFonts w:hint="eastAsia" w:ascii="仿宋_GB2312" w:eastAsia="仿宋_GB2312"/>
          <w:b/>
          <w:color w:val="000000"/>
          <w:sz w:val="30"/>
          <w:szCs w:val="30"/>
        </w:rPr>
        <w:t>2  2019届毕业生对学校人才培养评价分布图</w:t>
      </w:r>
    </w:p>
    <w:p>
      <w:pPr>
        <w:jc w:val="center"/>
        <w:rPr>
          <w:rFonts w:ascii="仿宋_GB2312" w:eastAsia="仿宋_GB2312"/>
          <w:b/>
          <w:sz w:val="28"/>
          <w:szCs w:val="28"/>
        </w:rPr>
      </w:pPr>
      <w:r>
        <w:rPr>
          <w:rFonts w:ascii="仿宋_GB2312" w:eastAsia="仿宋_GB2312"/>
          <w:b/>
          <w:sz w:val="28"/>
          <w:szCs w:val="28"/>
        </w:rPr>
        <w:drawing>
          <wp:inline distT="0" distB="0" distL="114300" distR="114300">
            <wp:extent cx="5276850" cy="2590800"/>
            <wp:effectExtent l="4445" t="4445" r="14605" b="14605"/>
            <wp:docPr id="14" name="图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2"/>
        <w:spacing w:beforeLines="100" w:afterLines="100" w:line="240" w:lineRule="auto"/>
        <w:jc w:val="center"/>
        <w:rPr>
          <w:rFonts w:ascii="黑体" w:hAnsi="黑体" w:eastAsia="黑体"/>
          <w:color w:val="1F497D"/>
          <w:kern w:val="0"/>
          <w:sz w:val="32"/>
          <w:szCs w:val="32"/>
        </w:rPr>
      </w:pPr>
      <w:bookmarkStart w:id="85" w:name="_Toc29531"/>
      <w:bookmarkStart w:id="86" w:name="_Toc18888"/>
      <w:r>
        <w:rPr>
          <w:rFonts w:hint="eastAsia" w:ascii="黑体" w:hAnsi="黑体" w:eastAsia="黑体"/>
          <w:color w:val="1F497D"/>
          <w:kern w:val="0"/>
          <w:sz w:val="32"/>
          <w:szCs w:val="32"/>
        </w:rPr>
        <w:t>第五部分</w:t>
      </w:r>
      <w:r>
        <w:rPr>
          <w:rFonts w:ascii="黑体" w:hAnsi="黑体" w:eastAsia="黑体"/>
          <w:color w:val="1F497D"/>
          <w:kern w:val="0"/>
          <w:sz w:val="32"/>
          <w:szCs w:val="32"/>
        </w:rPr>
        <w:t xml:space="preserve">  </w:t>
      </w:r>
      <w:r>
        <w:rPr>
          <w:rFonts w:hint="eastAsia" w:ascii="黑体" w:hAnsi="黑体" w:eastAsia="黑体"/>
          <w:color w:val="1F497D"/>
          <w:kern w:val="0"/>
          <w:sz w:val="32"/>
          <w:szCs w:val="32"/>
        </w:rPr>
        <w:t>就业创业工作的主要措施及特点</w:t>
      </w:r>
      <w:bookmarkEnd w:id="85"/>
      <w:bookmarkEnd w:id="86"/>
    </w:p>
    <w:p>
      <w:pPr>
        <w:spacing w:line="610" w:lineRule="exact"/>
        <w:rPr>
          <w:rFonts w:ascii="仿宋_GB2312" w:hAnsi="Calibri" w:eastAsia="仿宋_GB2312" w:cs="仿宋"/>
          <w:b/>
          <w:color w:val="1F497D"/>
          <w:kern w:val="0"/>
          <w:sz w:val="30"/>
          <w:szCs w:val="30"/>
        </w:rPr>
      </w:pPr>
      <w:bookmarkStart w:id="87" w:name="_Toc4722"/>
      <w:r>
        <w:rPr>
          <w:rFonts w:hint="eastAsia" w:ascii="仿宋_GB2312" w:hAnsi="Calibri" w:eastAsia="仿宋_GB2312" w:cs="仿宋"/>
          <w:b/>
          <w:color w:val="1F497D"/>
          <w:kern w:val="0"/>
          <w:sz w:val="30"/>
          <w:szCs w:val="30"/>
        </w:rPr>
        <w:t>5.1</w:t>
      </w:r>
      <w:r>
        <w:rPr>
          <w:rFonts w:hint="eastAsia" w:ascii="仿宋_GB2312" w:hAnsi="黑体" w:eastAsia="仿宋_GB2312" w:cs="仿宋"/>
          <w:b/>
          <w:color w:val="1F497D"/>
          <w:kern w:val="0"/>
          <w:sz w:val="30"/>
          <w:szCs w:val="30"/>
        </w:rPr>
        <w:t>高度重视，</w:t>
      </w:r>
      <w:r>
        <w:rPr>
          <w:rFonts w:hint="eastAsia" w:ascii="仿宋_GB2312" w:hAnsi="黑体" w:eastAsia="仿宋_GB2312" w:cs="仿宋"/>
          <w:b/>
          <w:color w:val="1F497D"/>
          <w:sz w:val="30"/>
          <w:szCs w:val="30"/>
        </w:rPr>
        <w:t>认真贯彻落实就业创业</w:t>
      </w:r>
      <w:r>
        <w:rPr>
          <w:rFonts w:hint="eastAsia" w:ascii="仿宋_GB2312" w:hAnsi="Calibri" w:eastAsia="仿宋_GB2312" w:cs="仿宋"/>
          <w:b/>
          <w:color w:val="1F497D"/>
          <w:sz w:val="30"/>
          <w:szCs w:val="30"/>
        </w:rPr>
        <w:t>“</w:t>
      </w:r>
      <w:r>
        <w:rPr>
          <w:rFonts w:hint="eastAsia" w:ascii="仿宋_GB2312" w:hAnsi="黑体" w:eastAsia="仿宋_GB2312" w:cs="仿宋"/>
          <w:b/>
          <w:color w:val="1F497D"/>
          <w:sz w:val="30"/>
          <w:szCs w:val="30"/>
        </w:rPr>
        <w:t>一把手</w:t>
      </w:r>
      <w:r>
        <w:rPr>
          <w:rFonts w:hint="eastAsia" w:ascii="仿宋_GB2312" w:hAnsi="Calibri" w:eastAsia="仿宋_GB2312" w:cs="仿宋"/>
          <w:b/>
          <w:color w:val="1F497D"/>
          <w:sz w:val="30"/>
          <w:szCs w:val="30"/>
        </w:rPr>
        <w:t>”</w:t>
      </w:r>
      <w:r>
        <w:rPr>
          <w:rFonts w:hint="eastAsia" w:ascii="仿宋_GB2312" w:hAnsi="黑体" w:eastAsia="仿宋_GB2312" w:cs="仿宋"/>
          <w:b/>
          <w:color w:val="1F497D"/>
          <w:sz w:val="30"/>
          <w:szCs w:val="30"/>
        </w:rPr>
        <w:t>工程</w:t>
      </w:r>
    </w:p>
    <w:p>
      <w:pPr>
        <w:ind w:firstLine="560" w:firstLineChars="200"/>
        <w:rPr>
          <w:rFonts w:ascii="仿宋_GB2312" w:hAnsi="宋体" w:eastAsia="仿宋_GB2312" w:cs="仿宋"/>
          <w:sz w:val="28"/>
          <w:szCs w:val="28"/>
        </w:rPr>
      </w:pPr>
      <w:r>
        <w:rPr>
          <w:rFonts w:hint="eastAsia" w:ascii="仿宋_GB2312" w:hAnsi="宋体" w:eastAsia="仿宋_GB2312" w:cs="仿宋"/>
          <w:color w:val="000000"/>
          <w:sz w:val="28"/>
          <w:szCs w:val="28"/>
        </w:rPr>
        <w:t>1、加强领导，明确责任，健全就业创业工作体系。</w:t>
      </w:r>
      <w:r>
        <w:rPr>
          <w:rFonts w:hint="eastAsia" w:ascii="仿宋_GB2312" w:hAnsi="宋体" w:eastAsia="仿宋_GB2312" w:cs="仿宋"/>
          <w:color w:val="000000"/>
          <w:kern w:val="0"/>
          <w:sz w:val="28"/>
          <w:szCs w:val="28"/>
        </w:rPr>
        <w:t>学校党政逐步重视毕业生就业创业工作，认真落实“一把手”就业创业工作工程，把就业创业工作列入重要议事议程，成立了以院党委书记、院长为组长、分管就业工作的副院长和分管教学工作的副院长为副组长、有关部门负责人为成员的校级就业工作领导小组；</w:t>
      </w:r>
      <w:r>
        <w:rPr>
          <w:rFonts w:hint="eastAsia" w:ascii="仿宋_GB2312" w:hAnsi="宋体" w:eastAsia="仿宋_GB2312"/>
          <w:sz w:val="28"/>
          <w:szCs w:val="28"/>
        </w:rPr>
        <w:t>成立了由院长任组长，分管学生及教学工作的副院长任副组长，有关部门负责人为组员的学校深化创新创业教育改革工作领导小组。同时，</w:t>
      </w:r>
      <w:r>
        <w:rPr>
          <w:rFonts w:hint="eastAsia" w:ascii="仿宋_GB2312" w:hAnsi="宋体" w:eastAsia="仿宋_GB2312" w:cs="仿宋"/>
          <w:color w:val="000000"/>
          <w:kern w:val="0"/>
          <w:sz w:val="28"/>
          <w:szCs w:val="28"/>
        </w:rPr>
        <w:t>学校</w:t>
      </w:r>
      <w:r>
        <w:rPr>
          <w:rFonts w:hint="eastAsia" w:ascii="仿宋_GB2312" w:hAnsi="宋体" w:eastAsia="仿宋_GB2312" w:cs="仿宋"/>
          <w:sz w:val="28"/>
          <w:szCs w:val="28"/>
        </w:rPr>
        <w:t>成立了招生就业处、就业办公室、就业创业指导教研室和</w:t>
      </w:r>
      <w:r>
        <w:rPr>
          <w:rFonts w:hint="eastAsia" w:ascii="仿宋_GB2312" w:hAnsi="宋体" w:eastAsia="仿宋_GB2312"/>
          <w:sz w:val="28"/>
          <w:szCs w:val="28"/>
        </w:rPr>
        <w:t>创新创业教育学院</w:t>
      </w:r>
      <w:r>
        <w:rPr>
          <w:rFonts w:hint="eastAsia" w:ascii="仿宋_GB2312" w:hAnsi="宋体" w:eastAsia="仿宋_GB2312" w:cs="仿宋"/>
          <w:sz w:val="28"/>
          <w:szCs w:val="28"/>
        </w:rPr>
        <w:t>，专门负责全校的就业创业指导、就业创业服务、就业创业管理、就业创业反馈和</w:t>
      </w:r>
      <w:r>
        <w:rPr>
          <w:rFonts w:hint="eastAsia" w:ascii="仿宋_GB2312" w:hAnsi="宋体" w:eastAsia="仿宋_GB2312"/>
          <w:sz w:val="28"/>
          <w:szCs w:val="28"/>
        </w:rPr>
        <w:t>大学生创新创业孵化基地、创新创业大赛、各级孵化平台管理</w:t>
      </w:r>
      <w:r>
        <w:rPr>
          <w:rFonts w:hint="eastAsia" w:ascii="仿宋_GB2312" w:hAnsi="宋体" w:eastAsia="仿宋_GB2312" w:cs="仿宋"/>
          <w:sz w:val="28"/>
          <w:szCs w:val="28"/>
        </w:rPr>
        <w:t>等日常工作；</w:t>
      </w:r>
      <w:r>
        <w:rPr>
          <w:rFonts w:hint="eastAsia" w:ascii="仿宋_GB2312" w:hAnsi="宋体" w:eastAsia="仿宋_GB2312" w:cs="仿宋"/>
          <w:color w:val="000000"/>
          <w:kern w:val="0"/>
          <w:sz w:val="28"/>
          <w:szCs w:val="28"/>
        </w:rPr>
        <w:t>各二级学院成立了院长和党总支书记为组长的院级毕业生就业创业工作领导小组。逐步</w:t>
      </w:r>
      <w:r>
        <w:rPr>
          <w:rFonts w:hint="eastAsia" w:ascii="仿宋_GB2312" w:hAnsi="宋体" w:eastAsia="仿宋_GB2312" w:cs="仿宋"/>
          <w:sz w:val="28"/>
          <w:szCs w:val="28"/>
        </w:rPr>
        <w:t>形成了各级重视、层层负责、齐抓共管、全员参与的毕业生就业创业工作良好运行机制。</w:t>
      </w:r>
    </w:p>
    <w:p>
      <w:pPr>
        <w:ind w:firstLine="560" w:firstLineChars="200"/>
        <w:jc w:val="left"/>
        <w:rPr>
          <w:rFonts w:ascii="仿宋_GB2312" w:hAnsi="宋体" w:eastAsia="仿宋_GB2312"/>
          <w:color w:val="000000"/>
          <w:sz w:val="28"/>
          <w:szCs w:val="28"/>
        </w:rPr>
      </w:pPr>
      <w:r>
        <w:rPr>
          <w:rFonts w:hint="eastAsia" w:ascii="仿宋_GB2312" w:hAnsi="宋体" w:eastAsia="仿宋_GB2312" w:cs="仿宋"/>
          <w:color w:val="000000"/>
          <w:kern w:val="0"/>
          <w:sz w:val="28"/>
          <w:szCs w:val="28"/>
        </w:rPr>
        <w:t>2、完善制度，狠抓落实，全面推进毕业生就业创业工作。近年</w:t>
      </w:r>
      <w:r>
        <w:rPr>
          <w:rFonts w:hint="eastAsia" w:ascii="仿宋_GB2312" w:hAnsi="宋体" w:eastAsia="仿宋_GB2312" w:cs="仿宋"/>
          <w:color w:val="000000"/>
          <w:sz w:val="28"/>
          <w:szCs w:val="28"/>
        </w:rPr>
        <w:t>来，我们进一步加强制度建设，逐步完善了就业创业服务体系，出台了《</w:t>
      </w:r>
      <w:r>
        <w:rPr>
          <w:rFonts w:hint="eastAsia" w:ascii="仿宋_GB2312" w:hAnsi="宋体" w:eastAsia="仿宋_GB2312"/>
          <w:color w:val="000000"/>
          <w:sz w:val="28"/>
          <w:szCs w:val="28"/>
        </w:rPr>
        <w:t>关于加强我校毕业生就业工作实施方案</w:t>
      </w:r>
      <w:r>
        <w:rPr>
          <w:rFonts w:hint="eastAsia" w:ascii="仿宋_GB2312" w:hAnsi="宋体" w:eastAsia="仿宋_GB2312" w:cs="仿宋"/>
          <w:color w:val="000000"/>
          <w:sz w:val="28"/>
          <w:szCs w:val="28"/>
        </w:rPr>
        <w:t>》、</w:t>
      </w:r>
      <w:r>
        <w:rPr>
          <w:rFonts w:hint="eastAsia" w:ascii="仿宋_GB2312" w:hAnsi="宋体" w:eastAsia="仿宋_GB2312"/>
          <w:color w:val="000000"/>
          <w:sz w:val="28"/>
          <w:szCs w:val="28"/>
        </w:rPr>
        <w:t>《湖南财政经济学院深化创新创业教育改革实施方案》、《湖南财政经济学院大学生创新创业孵化中心管理办法》、《湖南财政经济学院大学生创新创业、社会实践活动学分认定办法（试行）》、</w:t>
      </w:r>
      <w:r>
        <w:rPr>
          <w:rFonts w:hint="eastAsia" w:ascii="仿宋_GB2312" w:hAnsi="宋体" w:eastAsia="仿宋_GB2312" w:cs="仿宋"/>
          <w:color w:val="000000"/>
          <w:sz w:val="28"/>
          <w:szCs w:val="28"/>
        </w:rPr>
        <w:t>《湖南财政经济学院大学生创业奖励管理办法》、《湖南财政经济学院大学生创业基金使用管理办法》、《湖南财政经济学院校外创新创业导师管理办法》等相关方案和办法，进一步修订了《湖南财政经济学院就业工作管理办法》等规章制度，明确了各部门的工作任务，拿出了相应的奖励办法，逐步建立了“一把手”负总责的校、院两级毕业生就业创业工作管理体系，将就业创业工作贯穿到日常教学管理全过程中，保证了毕业生就业创业工作的顺利开展。</w:t>
      </w:r>
    </w:p>
    <w:p>
      <w:pPr>
        <w:spacing w:line="610" w:lineRule="exact"/>
        <w:rPr>
          <w:rFonts w:ascii="仿宋_GB2312" w:hAnsi="Calibri" w:eastAsia="仿宋_GB2312" w:cs="仿宋"/>
          <w:b/>
          <w:color w:val="1F497D"/>
          <w:sz w:val="30"/>
          <w:szCs w:val="30"/>
        </w:rPr>
      </w:pPr>
      <w:r>
        <w:rPr>
          <w:rFonts w:hint="eastAsia" w:ascii="仿宋_GB2312" w:hAnsi="Calibri" w:eastAsia="仿宋_GB2312" w:cs="仿宋"/>
          <w:b/>
          <w:color w:val="1F497D"/>
          <w:sz w:val="30"/>
          <w:szCs w:val="30"/>
        </w:rPr>
        <w:t>5.2</w:t>
      </w:r>
      <w:r>
        <w:rPr>
          <w:rFonts w:hint="eastAsia" w:ascii="仿宋_GB2312" w:hAnsi="黑体" w:eastAsia="仿宋_GB2312" w:cs="仿宋"/>
          <w:b/>
          <w:color w:val="1F497D"/>
          <w:sz w:val="30"/>
          <w:szCs w:val="30"/>
        </w:rPr>
        <w:t>多措并举，切实把就业创业工作落到实处</w:t>
      </w:r>
      <w:r>
        <w:rPr>
          <w:rFonts w:hint="eastAsia" w:ascii="仿宋_GB2312" w:hAnsi="Calibri" w:eastAsia="仿宋_GB2312" w:cs="仿宋"/>
          <w:b/>
          <w:color w:val="1F497D"/>
          <w:sz w:val="30"/>
          <w:szCs w:val="30"/>
        </w:rPr>
        <w:t xml:space="preserve"> </w:t>
      </w:r>
    </w:p>
    <w:p>
      <w:pPr>
        <w:ind w:firstLine="560" w:firstLineChars="200"/>
        <w:contextualSpacing/>
        <w:rPr>
          <w:rFonts w:ascii="仿宋_GB2312" w:hAnsi="宋体" w:eastAsia="仿宋_GB2312"/>
          <w:b/>
          <w:sz w:val="28"/>
          <w:szCs w:val="28"/>
        </w:rPr>
      </w:pPr>
      <w:r>
        <w:rPr>
          <w:rFonts w:hint="eastAsia" w:ascii="仿宋_GB2312" w:hAnsi="宋体" w:eastAsia="仿宋_GB2312" w:cs="仿宋"/>
          <w:color w:val="000000"/>
          <w:kern w:val="0"/>
          <w:sz w:val="28"/>
          <w:szCs w:val="28"/>
        </w:rPr>
        <w:t>1、结合学校实际，认真执行就业创业政策。学校积极</w:t>
      </w:r>
      <w:r>
        <w:rPr>
          <w:rFonts w:hint="eastAsia" w:ascii="仿宋_GB2312" w:hAnsi="宋体" w:eastAsia="仿宋_GB2312"/>
          <w:sz w:val="28"/>
          <w:szCs w:val="28"/>
        </w:rPr>
        <w:t>配合相关部门组织实施好“特岗计划”“大学生村官”“三支一扶”“大学生志愿服务西部计划”等基层就业项目，主动对接国家经济社会发展的人才需要，围绕“一带一路”建设，引导毕业生到重点地区、重大工程、重大项目、重要领域就业。鼓励毕业生到中西部地区、东北地区、艰苦边远地区和中、小、微型企业就业创业，</w:t>
      </w:r>
      <w:r>
        <w:rPr>
          <w:rFonts w:hint="eastAsia" w:ascii="仿宋_GB2312" w:hAnsi="宋体" w:eastAsia="仿宋_GB2312" w:cs="仿宋"/>
          <w:sz w:val="28"/>
          <w:szCs w:val="28"/>
        </w:rPr>
        <w:t>到国际组织实习任职。</w:t>
      </w:r>
      <w:r>
        <w:rPr>
          <w:rFonts w:hint="eastAsia" w:ascii="仿宋_GB2312" w:hAnsi="宋体" w:eastAsia="仿宋_GB2312"/>
          <w:sz w:val="28"/>
          <w:szCs w:val="28"/>
        </w:rPr>
        <w:t>做好大学生征兵工作，落实好预订兵工作机制，为大学生入伍开辟绿色通道，鼓励更多学生参军入伍。</w:t>
      </w:r>
      <w:r>
        <w:rPr>
          <w:rFonts w:hint="eastAsia" w:ascii="仿宋_GB2312" w:hAnsi="宋体" w:eastAsia="仿宋_GB2312" w:cs="仿宋"/>
          <w:sz w:val="28"/>
          <w:szCs w:val="28"/>
        </w:rPr>
        <w:t>我校会计学院会计专业学生夏次龙到益阳市桃江县石牛江镇小坡头村当起了村官，成立的“村官一号家庭农场”被教育厅学生处官网进行了广泛的宣传。</w:t>
      </w:r>
    </w:p>
    <w:p>
      <w:pPr>
        <w:ind w:firstLine="560" w:firstLineChars="200"/>
        <w:rPr>
          <w:rFonts w:ascii="仿宋_GB2312" w:hAnsi="宋体" w:eastAsia="仿宋_GB2312" w:cs="仿宋"/>
          <w:color w:val="000000"/>
          <w:sz w:val="28"/>
          <w:szCs w:val="28"/>
        </w:rPr>
      </w:pPr>
      <w:r>
        <w:rPr>
          <w:rFonts w:hint="eastAsia" w:ascii="仿宋_GB2312" w:hAnsi="宋体" w:eastAsia="仿宋_GB2312" w:cs="仿宋"/>
          <w:color w:val="000000"/>
          <w:sz w:val="28"/>
          <w:szCs w:val="28"/>
        </w:rPr>
        <w:t>2、关爱就业困难群体，实施就业“双困生”帮扶计划。学校按照《湖南财政经济学院困难毕业生就业工作帮扶办法》中“重点关注、重点推荐、重点服务”的原则，招生就业处和各二级学院联动，对困难毕业生情况进行了全面摸底排查，建立了困难毕业生档案，纯农户家庭毕业生台账，全面掌握他们的基本情况和需求。组织实施了“一对一”帮扶的“零距离就业行动计划”，关爱残疾学生、寒门学子。同时，学校每年为贫困毕业生申请专项求职创业补贴800元/人，2019年，</w:t>
      </w:r>
      <w:r>
        <w:rPr>
          <w:rFonts w:hint="eastAsia" w:ascii="仿宋_GB2312" w:hAnsi="宋体" w:eastAsia="仿宋_GB2312" w:cs="宋体"/>
          <w:color w:val="000000"/>
          <w:kern w:val="0"/>
          <w:sz w:val="28"/>
          <w:szCs w:val="28"/>
        </w:rPr>
        <w:t>招生就业处联合</w:t>
      </w:r>
      <w:r>
        <w:rPr>
          <w:rFonts w:hint="eastAsia" w:ascii="仿宋_GB2312" w:hAnsi="宋体" w:eastAsia="仿宋_GB2312" w:cs="宋体"/>
          <w:bCs/>
          <w:color w:val="000000"/>
          <w:sz w:val="28"/>
          <w:szCs w:val="28"/>
        </w:rPr>
        <w:t>拓能教育实施</w:t>
      </w:r>
      <w:r>
        <w:rPr>
          <w:rFonts w:hint="eastAsia" w:ascii="仿宋_GB2312" w:hAnsi="宋体" w:eastAsia="仿宋_GB2312" w:cs="宋体"/>
          <w:color w:val="000000"/>
          <w:sz w:val="28"/>
          <w:szCs w:val="28"/>
        </w:rPr>
        <w:t>公务员录用考试培训“公益生”计划， 20人免费获得22天的公益培训，</w:t>
      </w:r>
      <w:r>
        <w:rPr>
          <w:rFonts w:hint="eastAsia" w:ascii="仿宋_GB2312" w:hAnsi="宋体" w:eastAsia="仿宋_GB2312" w:cs="仿宋"/>
          <w:color w:val="000000"/>
          <w:sz w:val="28"/>
          <w:szCs w:val="28"/>
        </w:rPr>
        <w:t>努力帮助他们解决了就业创业中的实际困难。</w:t>
      </w:r>
    </w:p>
    <w:p>
      <w:pPr>
        <w:ind w:firstLine="700" w:firstLineChars="250"/>
        <w:rPr>
          <w:rFonts w:ascii="仿宋_GB2312" w:eastAsia="仿宋_GB2312"/>
          <w:color w:val="000000"/>
        </w:rPr>
      </w:pPr>
      <w:r>
        <w:rPr>
          <w:rFonts w:hint="eastAsia" w:ascii="仿宋_GB2312" w:hAnsi="宋体" w:eastAsia="仿宋_GB2312" w:cs="仿宋"/>
          <w:color w:val="000000"/>
          <w:sz w:val="28"/>
          <w:szCs w:val="28"/>
        </w:rPr>
        <w:t>3、加强就业创业指导，强化择业创业意识。我们立足学生特点，整合校内外师资力量参与就业创业指导和职业生涯教学，进一步完善了学生职业生涯规划、创新创业教育和就业创业指导服务体系。一是将就业指导课作为公共必修课纳入教学计划，安排38个课时，占2个分，贯穿学生从入学到毕业的整个培养过程。学校</w:t>
      </w:r>
      <w:r>
        <w:rPr>
          <w:rFonts w:hint="eastAsia" w:ascii="仿宋_GB2312" w:hAnsi="宋体" w:eastAsia="仿宋_GB2312"/>
          <w:color w:val="000000"/>
          <w:sz w:val="28"/>
          <w:szCs w:val="28"/>
        </w:rPr>
        <w:t>在创新创业教育学院下设大学生创新创业指导教研室，并组织全体教师进行了系统培训，编写了《创业基础》教材，并将《创业基础》课列为公共必修课，目前已面向16、17级学生开课，约6800人受益，</w:t>
      </w:r>
      <w:r>
        <w:rPr>
          <w:rFonts w:hint="eastAsia" w:ascii="仿宋_GB2312" w:hAnsi="宋体" w:eastAsia="仿宋_GB2312" w:cs="黑体"/>
          <w:color w:val="000000"/>
          <w:kern w:val="0"/>
          <w:sz w:val="28"/>
          <w:szCs w:val="28"/>
        </w:rPr>
        <w:t>职业生涯与发展规划课程建设通过了校课程思政建设立项和湖南省在线开放精品课程验收，同时，出版了《大学生就业指导》教材</w:t>
      </w:r>
      <w:r>
        <w:rPr>
          <w:rFonts w:hint="eastAsia" w:ascii="仿宋_GB2312" w:hAnsi="宋体" w:eastAsia="仿宋_GB2312" w:cs="仿宋"/>
          <w:color w:val="000000"/>
          <w:sz w:val="28"/>
          <w:szCs w:val="28"/>
        </w:rPr>
        <w:t>。二是科学制定了教学任务书、《大学生职业生涯规划与就业创业指导》教学大纲，深化了创新创业教育改革实施方案、《创业基础》课程改革方案、《创业基础》课程教学大纲，</w:t>
      </w:r>
      <w:r>
        <w:rPr>
          <w:rFonts w:hint="eastAsia" w:ascii="仿宋_GB2312" w:hAnsi="宋体" w:eastAsia="仿宋_GB2312"/>
          <w:color w:val="000000"/>
          <w:sz w:val="28"/>
          <w:szCs w:val="28"/>
        </w:rPr>
        <w:t>面向全校学生大力开展以创新意识、创业精神、创业能力为主的课程及培训，并在课程考核中把“创业设计”做为主要考核内容。同时，强化创新创业实践教学，促进专创融合。</w:t>
      </w:r>
      <w:r>
        <w:rPr>
          <w:rFonts w:hint="eastAsia" w:ascii="仿宋_GB2312" w:hAnsi="宋体" w:eastAsia="仿宋_GB2312" w:cs="仿宋"/>
          <w:color w:val="000000"/>
          <w:sz w:val="28"/>
          <w:szCs w:val="28"/>
        </w:rPr>
        <w:t>三是招生就业处、创新创业学院和各二级学院有计划、有针对性的邀请企业界、经济界、教育界的知名人士和杰出校友来校做就业创业报告及讲座。同时，开辟就业创业指导宣传专栏，举办毕业生座谈会、专题讲座和优秀毕业生经验交流会。开展模拟招聘、职业规划大赛、就业创业沙龙、考研和考公务员辅导等一系列活动，</w:t>
      </w:r>
      <w:r>
        <w:rPr>
          <w:rFonts w:hint="eastAsia" w:ascii="仿宋_GB2312" w:hAnsi="宋体" w:eastAsia="仿宋_GB2312"/>
          <w:color w:val="000000"/>
          <w:sz w:val="28"/>
          <w:szCs w:val="28"/>
        </w:rPr>
        <w:t>积极组织大学生申报大学生创新创业训练计划项目，参加“互联网+”、“挑战杯”、</w:t>
      </w:r>
      <w:r>
        <w:rPr>
          <w:rFonts w:hint="eastAsia" w:ascii="仿宋_GB2312" w:hAnsi="仿宋" w:eastAsia="仿宋_GB2312"/>
          <w:color w:val="000000"/>
          <w:sz w:val="28"/>
          <w:szCs w:val="28"/>
        </w:rPr>
        <w:t>全国财经类高校创新创业大赛等活动，安排校内外导师多层次分类指导，开展各项大赛的校内推广会、专家培训会、答辩会和校内选拔赛。通过组织项目申报、参与各类大赛等创新创业训练工作的开展，极大地调动了学生参与创新创业活动的积极性和主动性，提高了大学生的创新创业能力。</w:t>
      </w:r>
      <w:r>
        <w:rPr>
          <w:rFonts w:hint="eastAsia" w:ascii="仿宋_GB2312" w:hAnsi="仿宋" w:eastAsia="仿宋_GB2312" w:cs="仿宋"/>
          <w:color w:val="000000"/>
          <w:sz w:val="28"/>
          <w:szCs w:val="28"/>
        </w:rPr>
        <w:t>四是支持学生社团就业创业促进部建设。依托学生社团开展求职大赛、企业走访和生涯访谈等活动，搭建学生和企业的交流、特殊群体帮扶等支撑平台为主要内容的就业创业指导服务体系。</w:t>
      </w:r>
    </w:p>
    <w:p>
      <w:pPr>
        <w:ind w:firstLine="560" w:firstLineChars="200"/>
        <w:rPr>
          <w:rFonts w:ascii="仿宋_GB2312" w:hAnsi="仿宋" w:eastAsia="仿宋_GB2312" w:cs="仿宋"/>
          <w:color w:val="000000"/>
          <w:sz w:val="28"/>
          <w:szCs w:val="28"/>
        </w:rPr>
      </w:pPr>
      <w:r>
        <w:rPr>
          <w:rFonts w:hint="eastAsia" w:ascii="仿宋_GB2312" w:hAnsi="仿宋" w:eastAsia="仿宋_GB2312" w:cs="仿宋"/>
          <w:color w:val="000000"/>
          <w:sz w:val="28"/>
          <w:szCs w:val="28"/>
        </w:rPr>
        <w:t>4、夯实就业市场建设，拓宽毕业生就业渠道。在就业市场的开拓与建设上，我们主要做了下面一些工作。一是“走出去，请进来”多途径拓展就业市场，与一些长年合作的用人单位签订了定岗实习或校企</w:t>
      </w:r>
      <w:r>
        <w:rPr>
          <w:rFonts w:hint="eastAsia" w:ascii="仿宋_GB2312" w:hAnsi="仿宋" w:eastAsia="仿宋_GB2312"/>
          <w:color w:val="000000"/>
          <w:sz w:val="28"/>
          <w:szCs w:val="28"/>
          <w:shd w:val="clear" w:color="auto" w:fill="FFFFFF"/>
        </w:rPr>
        <w:t>战略</w:t>
      </w:r>
      <w:r>
        <w:rPr>
          <w:rFonts w:hint="eastAsia" w:ascii="仿宋_GB2312" w:hAnsi="仿宋" w:eastAsia="仿宋_GB2312" w:cs="仿宋"/>
          <w:color w:val="000000"/>
          <w:sz w:val="28"/>
          <w:szCs w:val="28"/>
        </w:rPr>
        <w:t>合作协议，如中国银行、光大银行、</w:t>
      </w:r>
      <w:r>
        <w:rPr>
          <w:rFonts w:hint="eastAsia" w:ascii="仿宋_GB2312" w:hAnsi="仿宋" w:eastAsia="仿宋_GB2312"/>
          <w:bCs/>
          <w:color w:val="000000"/>
          <w:sz w:val="28"/>
          <w:szCs w:val="28"/>
          <w:shd w:val="clear" w:color="auto" w:fill="FFFFFF"/>
        </w:rPr>
        <w:t>京东集团湖南分公司、北京万合创景集团、天健会计师事务所、</w:t>
      </w:r>
      <w:r>
        <w:rPr>
          <w:rFonts w:hint="eastAsia" w:ascii="仿宋_GB2312" w:hAnsi="仿宋" w:eastAsia="仿宋_GB2312"/>
          <w:color w:val="000000"/>
          <w:sz w:val="28"/>
          <w:szCs w:val="28"/>
          <w:shd w:val="clear" w:color="auto" w:fill="FFFFFF"/>
        </w:rPr>
        <w:t>湖南京邦达物流有限公司、湖南方盛制药股份有限公司</w:t>
      </w:r>
      <w:r>
        <w:rPr>
          <w:rFonts w:hint="eastAsia" w:ascii="仿宋_GB2312" w:hAnsi="仿宋" w:eastAsia="仿宋_GB2312"/>
          <w:bCs/>
          <w:color w:val="000000"/>
          <w:sz w:val="28"/>
          <w:szCs w:val="28"/>
          <w:shd w:val="clear" w:color="auto" w:fill="FFFFFF"/>
        </w:rPr>
        <w:t>、</w:t>
      </w:r>
      <w:r>
        <w:rPr>
          <w:rFonts w:hint="eastAsia" w:ascii="仿宋_GB2312" w:hAnsi="仿宋" w:eastAsia="仿宋_GB2312"/>
          <w:color w:val="000000"/>
          <w:sz w:val="28"/>
          <w:szCs w:val="28"/>
          <w:shd w:val="clear" w:color="auto" w:fill="FFFFFF"/>
        </w:rPr>
        <w:t>湖南58众创创业发展有限公司、</w:t>
      </w:r>
      <w:r>
        <w:rPr>
          <w:rFonts w:hint="eastAsia" w:ascii="仿宋_GB2312" w:hAnsi="仿宋" w:eastAsia="仿宋_GB2312"/>
          <w:bCs/>
          <w:color w:val="000000"/>
          <w:sz w:val="28"/>
          <w:szCs w:val="28"/>
          <w:shd w:val="clear" w:color="auto" w:fill="FFFFFF"/>
        </w:rPr>
        <w:t>海普诺凯生物科技有限公司、新富岳国际教育集团、秦皇筷乐餐饮集团签署校企合作协议</w:t>
      </w:r>
      <w:r>
        <w:rPr>
          <w:rFonts w:hint="eastAsia" w:ascii="仿宋_GB2312" w:hAnsi="仿宋" w:eastAsia="仿宋_GB2312" w:cs="仿宋"/>
          <w:color w:val="000000"/>
          <w:sz w:val="28"/>
          <w:szCs w:val="28"/>
        </w:rPr>
        <w:t>、湖南省第四建筑工程公司、深圳招商银行、长沙星沙经济开发区等都是我校长期合作单位。为了进一步加强与用人单位的联系，不定期的邀请他们来校参加人才培养工作座谈会，这大大促进了彼此的沟通和了解；二是充分利用各地校友分会建立毕业生就业创业网络，聘请有关人员担任就业工作联络员。三是重视发挥教职员工的作用，号召全体教师充分利用自己的社会资源和在校友、行业中的影响，帮助毕业生就业。目前我们已基本形成了以长株潭地区为中心，向珠三角、长三角等沿海地区及中西部地区辐射的就业格局。</w:t>
      </w:r>
    </w:p>
    <w:p>
      <w:pPr>
        <w:ind w:firstLine="560" w:firstLineChars="200"/>
        <w:rPr>
          <w:rFonts w:ascii="仿宋_GB2312" w:hAnsi="仿宋" w:eastAsia="仿宋_GB2312"/>
          <w:color w:val="000000"/>
        </w:rPr>
      </w:pPr>
      <w:r>
        <w:rPr>
          <w:rFonts w:hint="eastAsia" w:ascii="仿宋_GB2312" w:hAnsi="仿宋" w:eastAsia="仿宋_GB2312" w:cs="仿宋"/>
          <w:bCs/>
          <w:color w:val="000000"/>
          <w:sz w:val="28"/>
          <w:szCs w:val="28"/>
        </w:rPr>
        <w:t>5、精心举办各类校园供需见面会，竭力搭建毕业生就业平台。</w:t>
      </w:r>
      <w:r>
        <w:rPr>
          <w:rFonts w:hint="eastAsia" w:ascii="仿宋_GB2312" w:hAnsi="仿宋" w:eastAsia="仿宋_GB2312" w:cs="仿宋"/>
          <w:color w:val="000000"/>
          <w:sz w:val="28"/>
          <w:szCs w:val="28"/>
        </w:rPr>
        <w:t>为扎实推进毕业生就业工作，我们制定了“早计划、早行动、早生效”的方针，积极邀请用人单位来校招聘。一年来，我处共接待用人单位600多家，提供有效招聘岗位近3万个，联合省教育厅成功举办了湖南省经济管理类2020届大型供需见面会，前来参会单位</w:t>
      </w:r>
      <w:r>
        <w:rPr>
          <w:rFonts w:hint="eastAsia" w:ascii="仿宋_GB2312" w:hAnsi="仿宋" w:eastAsia="仿宋_GB2312"/>
          <w:color w:val="000000"/>
          <w:sz w:val="28"/>
          <w:szCs w:val="28"/>
        </w:rPr>
        <w:t>近400家，其中：国有企业41家、中国500强36家、行业500强44家、上市公司50家、三资企业10家、民营企业500强22家，提供招聘岗位1.6万多个。招生就业处和各二级学院联合</w:t>
      </w:r>
      <w:r>
        <w:rPr>
          <w:rFonts w:hint="eastAsia" w:ascii="仿宋_GB2312" w:hAnsi="仿宋" w:eastAsia="仿宋_GB2312" w:cs="仿宋"/>
          <w:color w:val="000000"/>
          <w:sz w:val="28"/>
          <w:szCs w:val="28"/>
        </w:rPr>
        <w:t>召开各类中小型专场招聘会近200场；同时还积极组织毕业生参加了省市相关职能部门组织的各类供需见面会，向社会各界推介毕业生，</w:t>
      </w:r>
      <w:r>
        <w:rPr>
          <w:rFonts w:hint="eastAsia" w:ascii="仿宋_GB2312" w:hAnsi="仿宋" w:eastAsia="仿宋_GB2312"/>
          <w:color w:val="000000"/>
          <w:sz w:val="28"/>
          <w:szCs w:val="28"/>
        </w:rPr>
        <w:t>努力搭建毕业生就业平台</w:t>
      </w:r>
      <w:r>
        <w:rPr>
          <w:rFonts w:hint="eastAsia" w:ascii="仿宋_GB2312" w:hAnsi="仿宋" w:eastAsia="仿宋_GB2312" w:cs="仿宋"/>
          <w:color w:val="000000"/>
          <w:sz w:val="28"/>
          <w:szCs w:val="28"/>
        </w:rPr>
        <w:t>，拓宽毕业生就业渠道。</w:t>
      </w:r>
    </w:p>
    <w:p>
      <w:pPr>
        <w:ind w:firstLine="560" w:firstLineChars="200"/>
        <w:rPr>
          <w:rFonts w:ascii="仿宋_GB2312" w:hAnsi="仿宋" w:eastAsia="仿宋_GB2312"/>
          <w:color w:val="000000"/>
          <w:sz w:val="28"/>
          <w:szCs w:val="28"/>
        </w:rPr>
      </w:pPr>
      <w:r>
        <w:rPr>
          <w:rFonts w:hint="eastAsia" w:ascii="仿宋_GB2312" w:hAnsi="仿宋" w:eastAsia="仿宋_GB2312" w:cs="仿宋"/>
          <w:color w:val="000000"/>
          <w:sz w:val="28"/>
          <w:szCs w:val="28"/>
        </w:rPr>
        <w:t>6、大力加强网络平台建设，确保就业网络服务精准有效。</w:t>
      </w:r>
      <w:r>
        <w:rPr>
          <w:rFonts w:hint="eastAsia" w:ascii="仿宋_GB2312" w:hAnsi="仿宋" w:eastAsia="仿宋_GB2312"/>
          <w:color w:val="000000"/>
          <w:sz w:val="28"/>
          <w:szCs w:val="28"/>
        </w:rPr>
        <w:t>一年来，招生就业处建立与完善了毕业生就业信息网站、云就业微信推送平台，实名制报送就业方案等网络平台，安排了专人对就业信息网站和云就业微信平台进行技术和信息维护。全面提升就业网站为广大学生服务的功能。通过就业服务网和云就业微信平台进行政策宣传、就业指导，网上咨询以及校、院两级就业信息发布等，将就业创业政策、就业创业指导和单位招聘等就业信息精准推送到每个毕业生手中，2019年，学校和二级学院共发布单位有效需求信息800多条，及时回复毕业生网上就业咨询900多人次，信息服务量有了大幅度的提高，使学校、毕业生和用人单位做到资源共享，信息互通，在广大毕业生和用人单位中发挥桥梁和纽带作用。同时，我们还借助学校办公自动化、手机短信、就业QQ群等渠道及时传递就业信息，有效提高了信息的利用率。</w:t>
      </w:r>
    </w:p>
    <w:p>
      <w:pPr>
        <w:ind w:firstLine="560" w:firstLineChars="200"/>
        <w:rPr>
          <w:rFonts w:ascii="仿宋_GB2312" w:hAnsi="仿宋" w:eastAsia="仿宋_GB2312" w:cs="仿宋"/>
          <w:color w:val="000000"/>
          <w:spacing w:val="-8"/>
          <w:kern w:val="0"/>
          <w:sz w:val="28"/>
          <w:szCs w:val="28"/>
        </w:rPr>
      </w:pPr>
      <w:r>
        <w:rPr>
          <w:rFonts w:hint="eastAsia" w:ascii="仿宋_GB2312" w:hAnsi="仿宋" w:eastAsia="仿宋_GB2312" w:cs="仿宋"/>
          <w:color w:val="000000"/>
          <w:sz w:val="28"/>
          <w:szCs w:val="28"/>
        </w:rPr>
        <w:t>7、</w:t>
      </w:r>
      <w:r>
        <w:rPr>
          <w:rFonts w:hint="eastAsia" w:ascii="仿宋_GB2312" w:hAnsi="仿宋" w:eastAsia="仿宋_GB2312" w:cs="仿宋"/>
          <w:color w:val="000000"/>
          <w:spacing w:val="-8"/>
          <w:kern w:val="0"/>
          <w:sz w:val="28"/>
          <w:szCs w:val="28"/>
        </w:rPr>
        <w:t>以活动为载体，加强学生创新创业教育和创业能力培养。</w:t>
      </w:r>
      <w:r>
        <w:rPr>
          <w:rFonts w:hint="eastAsia" w:ascii="仿宋_GB2312" w:hAnsi="仿宋" w:eastAsia="仿宋_GB2312"/>
          <w:color w:val="000000"/>
          <w:sz w:val="28"/>
          <w:szCs w:val="28"/>
        </w:rPr>
        <w:t>学校在人才培养方案中设置8个创新实践活动学分，每年对学生的创新创业活动进行认定，学生多余的创新实践学分可以替代选修课程，在创新实践活动中进行创新创业教育。目前开展的有四大特色活动：创新创业沙龙半月谈、一月一诊断、创新创业人物专栏、梅溪双创大讲堂，通过邀请成功企业家、职业经理人、风投专家等开展专题沙龙、讲座。同时，学校修订了《湖南财政经济学院大学生创新创业、社会实践活动学分认定办法》，对于参加创新创业沙龙、讲座等活动的最多可认定4个学分，参加创办公司等创业实践活动给予认定4个学分。近年来，我们已经开展了40多场创业活动，近3000学生参加。创新创业教育普遍开展，</w:t>
      </w:r>
      <w:r>
        <w:rPr>
          <w:rFonts w:hint="eastAsia" w:ascii="仿宋_GB2312" w:hAnsi="仿宋" w:eastAsia="仿宋_GB2312" w:cs="仿宋"/>
          <w:color w:val="000000"/>
          <w:spacing w:val="-8"/>
          <w:kern w:val="0"/>
          <w:sz w:val="28"/>
          <w:szCs w:val="28"/>
        </w:rPr>
        <w:t>学生的创新创业能力得到有效提高</w:t>
      </w:r>
      <w:r>
        <w:rPr>
          <w:rFonts w:hint="eastAsia" w:ascii="仿宋_GB2312" w:hAnsi="仿宋" w:eastAsia="仿宋_GB2312"/>
          <w:color w:val="000000"/>
          <w:sz w:val="28"/>
          <w:szCs w:val="28"/>
        </w:rPr>
        <w:t>。</w:t>
      </w:r>
    </w:p>
    <w:p>
      <w:pPr>
        <w:ind w:firstLine="560" w:firstLineChars="200"/>
        <w:rPr>
          <w:rFonts w:ascii="仿宋_GB2312" w:hAnsi="仿宋" w:eastAsia="仿宋_GB2312" w:cs="仿宋"/>
          <w:color w:val="FF0000"/>
          <w:sz w:val="28"/>
          <w:szCs w:val="28"/>
        </w:rPr>
      </w:pPr>
      <w:r>
        <w:rPr>
          <w:rFonts w:hint="eastAsia" w:ascii="仿宋_GB2312" w:hAnsi="仿宋" w:eastAsia="仿宋_GB2312" w:cs="仿宋"/>
          <w:color w:val="000000"/>
          <w:sz w:val="28"/>
          <w:szCs w:val="28"/>
        </w:rPr>
        <w:t>8、</w:t>
      </w:r>
      <w:r>
        <w:rPr>
          <w:rFonts w:hint="eastAsia" w:ascii="仿宋_GB2312" w:hAnsi="仿宋" w:eastAsia="仿宋_GB2312"/>
          <w:sz w:val="28"/>
          <w:szCs w:val="28"/>
        </w:rPr>
        <w:t>加大经费投入，为创新创业工作的顺利开展提供有力保障。学校安排了专门资金，用于支持大学生创新创业孵化基地的建设、创新创业教育教学、资助学生创新创业。2015年以来，学校先后争取中央财政支持地方高校发展专项资金4800万元，其中近2000万元用于财经综合虚拟仿真实验室、大学生创新创业孵化基地、专业实验实训中心、各专业校企合作创新创业教育基地等方面的建设；自2016年来，学校每年安排创新创业专项工作经费30万元，设立了创业基金100万元。学校大学生创新创业孵化中心总面积约为600余平方米。设有高级孵化区、公共孵化区、培训室、会议室、路演室、咖啡吧创客区等功能区，免费为大学生创业项目提供一站式服务。同时，学校还积极争取上级及相关部门的平台与资金支持创新创业工作。</w:t>
      </w:r>
    </w:p>
    <w:p>
      <w:pPr>
        <w:widowControl/>
        <w:tabs>
          <w:tab w:val="right" w:pos="8306"/>
        </w:tabs>
        <w:spacing w:beforeLines="50" w:afterLines="50" w:line="610" w:lineRule="exact"/>
        <w:rPr>
          <w:rFonts w:ascii="仿宋" w:hAnsi="仿宋" w:eastAsia="仿宋" w:cs="仿宋"/>
          <w:b/>
          <w:bCs/>
          <w:color w:val="0070C0"/>
          <w:kern w:val="0"/>
          <w:sz w:val="28"/>
          <w:szCs w:val="28"/>
        </w:rPr>
      </w:pPr>
      <w:r>
        <w:rPr>
          <w:rFonts w:hint="eastAsia" w:ascii="仿宋" w:hAnsi="仿宋" w:eastAsia="仿宋" w:cs="仿宋"/>
          <w:b/>
          <w:color w:val="0070C0"/>
          <w:kern w:val="0"/>
          <w:sz w:val="28"/>
          <w:szCs w:val="28"/>
        </w:rPr>
        <w:t>5.3创新方法，</w:t>
      </w:r>
      <w:r>
        <w:rPr>
          <w:rFonts w:hint="eastAsia" w:ascii="仿宋" w:hAnsi="仿宋" w:eastAsia="仿宋" w:cs="仿宋"/>
          <w:b/>
          <w:bCs/>
          <w:color w:val="0070C0"/>
          <w:kern w:val="0"/>
          <w:sz w:val="28"/>
          <w:szCs w:val="28"/>
        </w:rPr>
        <w:t>确保就业创业工作取得良好效果</w:t>
      </w:r>
    </w:p>
    <w:p>
      <w:pPr>
        <w:ind w:firstLine="560" w:firstLineChars="200"/>
        <w:rPr>
          <w:rFonts w:ascii="仿宋_GB2312" w:hAnsi="仿宋" w:eastAsia="仿宋_GB2312" w:cs="仿宋"/>
          <w:color w:val="000000"/>
          <w:sz w:val="28"/>
          <w:szCs w:val="28"/>
        </w:rPr>
      </w:pPr>
      <w:r>
        <w:rPr>
          <w:rFonts w:hint="eastAsia" w:ascii="仿宋_GB2312" w:hAnsi="仿宋" w:eastAsia="仿宋_GB2312" w:cs="仿宋"/>
          <w:color w:val="000000"/>
          <w:sz w:val="28"/>
          <w:szCs w:val="28"/>
        </w:rPr>
        <w:t>1、加强个性化分类指导，多渠道精准化求职帮扶。招生就业处和各二级学院联动，对困难毕业生情况进行全面摸底排查，建立困难毕业生档案，纯农户家庭毕业生台账，全面掌握他们的基本情况和需求。逐步完善了教育指导与个体咨询相结合、提升专业知识与加强技能培训相结合、经济援助和心理引导相结合的就业困难群体帮扶体系。通过提供勤工助学岗位、一对一学业指导、就业压力心理疏导、职业技能培训、求职补贴、就业信息对接、就业岗位推荐等全面细致的帮扶措施。同时，学校持续保持对离校未就业毕业生的动态追踪。组织专人通过网络、电话、微信和QQ等有效方式持续向离校未就业毕业生推送用人信息和相关政策，做到“离校不离心，服务不断线”。</w:t>
      </w:r>
    </w:p>
    <w:p>
      <w:pPr>
        <w:ind w:firstLine="420" w:firstLineChars="150"/>
        <w:rPr>
          <w:rFonts w:ascii="仿宋_GB2312" w:hAnsi="仿宋" w:eastAsia="仿宋_GB2312"/>
          <w:b/>
          <w:color w:val="000000"/>
          <w:sz w:val="28"/>
          <w:szCs w:val="28"/>
        </w:rPr>
      </w:pPr>
      <w:r>
        <w:rPr>
          <w:rFonts w:hint="eastAsia" w:ascii="仿宋_GB2312" w:hAnsi="仿宋" w:eastAsia="仿宋_GB2312"/>
          <w:color w:val="000000"/>
          <w:sz w:val="28"/>
          <w:szCs w:val="28"/>
        </w:rPr>
        <w:t>2、深化创新创业内容建设，突出“四大功能。”一是创业教育功能。面向全校学生大力开展以创新意识、创业精神、创业能力为主的课程及培训。同时强化创新创业实践教学，促进专创融合。目前已与新大众创、58众创、猪八戒网等5家企业合作建立了创业实践基地。二是创新创业训练功能。学校积极组织学生申报大学生创新创业训练计划项目，参加“互联网+”、“挑战杯”、全国财经类高校创新创业大赛等活动，安排校内外导师多层次分类指导，开展各项大赛的校内推广会、专家培训会、答辩会和校内选拔赛，以赛促创、突出品牌、扩大参与。通过组织项目申报、参与各类大赛等创新创业训练工作的开展，极大调动了学生参与创新创业活动的积极性和主动性，提高了大学生的创新创业能力。三是创新创业孵化功能。创新创业学院孵化中心累积孵化大学生创业项目43个，近20个项目已注册公司。基地根据大学生创新创业的各种需求，搭建了一个集专业实验实训、项目孵化、创新创业训练、创业指导培训和综合服务为一体的创业孵化平台。为了更好地为在孵大学生项目服务，解决我校创新创业项目在发展过程中遇到的难题和存在的问题，我们开展了“一月一诊断”活动，每月请专家对大学生创业项目进行诊断。诊断前，我们对项目的各类数据建立电子档案，将这些数据及公司提交的问题提前发给导师。诊断时，项目现场PPT展示一个月来公司的运营情况及存在的问题，与专家面对面交流，专家结合之前项目运营信息与数据现场给出见意和专业指导。诊断后，专家定期与诊断项目进行交流，解答项目后续遇到的实际问题。通过在校的孵化，一些项目已成功走向社会并运营良好，如：助威电子商务（长沙）有限公司、长沙领讯财务咨询有限公司等。四是创新创业服务功能。基地免费为创业者提供政策咨询、创业培训及指导、专业实验实训、创业导师、项目诊断、创业沙龙活动等一系列基础创业服务。免费提供办公场地、水电、网络等配套设施，较好的满足了大学生创新创业孵化的需求。并与58众创、猪八戒网、新大众创、蓝杉产融共享空间等社会知名孵化器签定了服务合作协议，为大学生创业团队提供公司注册、报税、财务评估、成果转化、预孵化到社会孵化、风险投资等方面的服务。同时建立了校内外导师库，目前有校内导师21人，校外导师12人，通过线上线下、“一对一”“一对多”等形式为大学生创业者提供咨询与指导。</w:t>
      </w:r>
    </w:p>
    <w:p>
      <w:pPr>
        <w:pStyle w:val="2"/>
        <w:spacing w:beforeLines="100" w:afterLines="100" w:line="240" w:lineRule="auto"/>
        <w:jc w:val="center"/>
        <w:rPr>
          <w:rFonts w:ascii="黑体" w:hAnsi="黑体" w:eastAsia="黑体"/>
          <w:color w:val="1F497D"/>
          <w:kern w:val="0"/>
          <w:sz w:val="32"/>
          <w:szCs w:val="32"/>
        </w:rPr>
      </w:pPr>
      <w:bookmarkStart w:id="88" w:name="_Toc29376"/>
      <w:r>
        <w:rPr>
          <w:rFonts w:hint="eastAsia" w:ascii="黑体" w:hAnsi="黑体" w:eastAsia="黑体"/>
          <w:color w:val="1F497D"/>
          <w:kern w:val="0"/>
          <w:sz w:val="32"/>
          <w:szCs w:val="32"/>
        </w:rPr>
        <w:t>第六部分</w:t>
      </w:r>
      <w:r>
        <w:rPr>
          <w:rFonts w:ascii="黑体" w:hAnsi="黑体" w:eastAsia="黑体"/>
          <w:color w:val="1F497D"/>
          <w:kern w:val="0"/>
          <w:sz w:val="32"/>
          <w:szCs w:val="32"/>
        </w:rPr>
        <w:t xml:space="preserve"> </w:t>
      </w:r>
      <w:r>
        <w:rPr>
          <w:rFonts w:hint="eastAsia" w:ascii="黑体" w:hAnsi="黑体" w:eastAsia="黑体"/>
          <w:color w:val="1F497D"/>
          <w:kern w:val="0"/>
          <w:sz w:val="32"/>
          <w:szCs w:val="32"/>
        </w:rPr>
        <w:t>发展趋势与展望</w:t>
      </w:r>
      <w:bookmarkEnd w:id="87"/>
      <w:bookmarkEnd w:id="88"/>
      <w:bookmarkStart w:id="89" w:name="_Toc19002"/>
      <w:bookmarkStart w:id="90" w:name="_Toc437501625"/>
      <w:bookmarkStart w:id="91" w:name="_Toc496819340"/>
    </w:p>
    <w:p>
      <w:pPr>
        <w:pStyle w:val="3"/>
        <w:spacing w:before="0" w:after="0"/>
        <w:rPr>
          <w:rFonts w:ascii="仿宋_GB2312" w:eastAsia="仿宋_GB2312"/>
          <w:color w:val="1F497D"/>
          <w:sz w:val="30"/>
          <w:szCs w:val="30"/>
        </w:rPr>
      </w:pPr>
      <w:bookmarkStart w:id="92" w:name="_Toc18900"/>
      <w:r>
        <w:rPr>
          <w:rFonts w:hint="eastAsia" w:ascii="仿宋_GB2312" w:eastAsia="仿宋_GB2312"/>
          <w:color w:val="1F497D"/>
          <w:sz w:val="30"/>
          <w:szCs w:val="30"/>
        </w:rPr>
        <w:t>6.1</w:t>
      </w:r>
      <w:bookmarkEnd w:id="89"/>
      <w:bookmarkEnd w:id="90"/>
      <w:bookmarkEnd w:id="91"/>
      <w:bookmarkStart w:id="93" w:name="_Toc28556"/>
      <w:bookmarkStart w:id="94" w:name="_Toc437501627"/>
      <w:r>
        <w:rPr>
          <w:rFonts w:hint="eastAsia" w:ascii="仿宋_GB2312" w:eastAsia="仿宋_GB2312"/>
          <w:color w:val="1F497D"/>
          <w:sz w:val="30"/>
          <w:szCs w:val="30"/>
        </w:rPr>
        <w:t>签约单位性质、行业分布优势突出，发展逐步多元化</w:t>
      </w:r>
      <w:bookmarkEnd w:id="92"/>
      <w:bookmarkEnd w:id="93"/>
    </w:p>
    <w:bookmarkEnd w:id="94"/>
    <w:p>
      <w:pPr>
        <w:ind w:firstLine="556"/>
        <w:rPr>
          <w:rFonts w:ascii="仿宋_GB2312" w:eastAsia="仿宋_GB2312"/>
          <w:color w:val="000000"/>
          <w:sz w:val="28"/>
          <w:szCs w:val="28"/>
        </w:rPr>
      </w:pPr>
      <w:r>
        <w:rPr>
          <w:rFonts w:hint="eastAsia" w:ascii="仿宋_GB2312" w:eastAsia="仿宋_GB2312"/>
          <w:color w:val="000000"/>
          <w:sz w:val="28"/>
          <w:szCs w:val="28"/>
        </w:rPr>
        <w:t>从近三年毕业生签约单位性质、行业分布变化趋势来看，我校毕业生主要集中在金融业、上市公司、股份制企业、大中型国有企业就业，在金融行业优势突出的基础上，毕业生赴</w:t>
      </w:r>
      <w:r>
        <w:rPr>
          <w:rFonts w:hint="eastAsia" w:ascii="仿宋_GB2312" w:eastAsia="仿宋_GB2312" w:cs="螳倶ｽ"/>
          <w:color w:val="000000"/>
          <w:kern w:val="0"/>
          <w:sz w:val="28"/>
          <w:szCs w:val="28"/>
        </w:rPr>
        <w:t>民营企业、</w:t>
      </w:r>
      <w:r>
        <w:rPr>
          <w:rFonts w:hint="eastAsia" w:ascii="仿宋_GB2312" w:hAnsi="MS Mincho" w:eastAsia="仿宋_GB2312" w:cs="MS Mincho"/>
          <w:color w:val="000000"/>
          <w:kern w:val="0"/>
          <w:sz w:val="28"/>
          <w:szCs w:val="28"/>
        </w:rPr>
        <w:t>事</w:t>
      </w:r>
      <w:r>
        <w:rPr>
          <w:rFonts w:hint="eastAsia" w:ascii="仿宋_GB2312" w:hAnsi="宋体" w:eastAsia="仿宋_GB2312" w:cs="宋体"/>
          <w:color w:val="000000"/>
          <w:kern w:val="0"/>
          <w:sz w:val="28"/>
          <w:szCs w:val="28"/>
        </w:rPr>
        <w:t>务</w:t>
      </w:r>
      <w:r>
        <w:rPr>
          <w:rFonts w:hint="eastAsia" w:ascii="仿宋_GB2312" w:hAnsi="MS Mincho" w:eastAsia="仿宋_GB2312" w:cs="MS Mincho"/>
          <w:color w:val="000000"/>
          <w:kern w:val="0"/>
          <w:sz w:val="28"/>
          <w:szCs w:val="28"/>
        </w:rPr>
        <w:t>所、高新技</w:t>
      </w:r>
      <w:r>
        <w:rPr>
          <w:rFonts w:hint="eastAsia" w:ascii="仿宋_GB2312" w:hAnsi="宋体" w:eastAsia="仿宋_GB2312" w:cs="宋体"/>
          <w:color w:val="000000"/>
          <w:kern w:val="0"/>
          <w:sz w:val="28"/>
          <w:szCs w:val="28"/>
        </w:rPr>
        <w:t>术</w:t>
      </w:r>
      <w:r>
        <w:rPr>
          <w:rFonts w:hint="eastAsia" w:ascii="仿宋_GB2312" w:hAnsi="MS Mincho" w:eastAsia="仿宋_GB2312" w:cs="MS Mincho"/>
          <w:color w:val="000000"/>
          <w:kern w:val="0"/>
          <w:sz w:val="28"/>
          <w:szCs w:val="28"/>
        </w:rPr>
        <w:t>企</w:t>
      </w:r>
      <w:r>
        <w:rPr>
          <w:rFonts w:hint="eastAsia" w:ascii="仿宋_GB2312" w:hAnsi="宋体" w:eastAsia="仿宋_GB2312" w:cs="宋体"/>
          <w:color w:val="000000"/>
          <w:kern w:val="0"/>
          <w:sz w:val="28"/>
          <w:szCs w:val="28"/>
        </w:rPr>
        <w:t>业</w:t>
      </w:r>
      <w:r>
        <w:rPr>
          <w:rFonts w:hint="eastAsia" w:ascii="仿宋_GB2312" w:hAnsi="MS Mincho" w:eastAsia="仿宋_GB2312" w:cs="MS Mincho"/>
          <w:color w:val="000000"/>
          <w:kern w:val="0"/>
          <w:sz w:val="28"/>
          <w:szCs w:val="28"/>
        </w:rPr>
        <w:t>、制造业、</w:t>
      </w:r>
      <w:r>
        <w:rPr>
          <w:rFonts w:hint="eastAsia" w:ascii="仿宋_GB2312" w:eastAsia="仿宋_GB2312"/>
          <w:color w:val="000000"/>
          <w:sz w:val="28"/>
          <w:szCs w:val="28"/>
        </w:rPr>
        <w:t>教育培训机构、社会</w:t>
      </w:r>
      <w:r>
        <w:rPr>
          <w:rFonts w:hint="eastAsia" w:ascii="仿宋_GB2312" w:hAnsi="MS Mincho" w:eastAsia="仿宋_GB2312" w:cs="MS Mincho"/>
          <w:color w:val="000000"/>
          <w:kern w:val="0"/>
          <w:sz w:val="28"/>
          <w:szCs w:val="28"/>
        </w:rPr>
        <w:t>服务性行业和文化</w:t>
      </w:r>
      <w:r>
        <w:rPr>
          <w:rFonts w:hint="eastAsia" w:ascii="仿宋_GB2312" w:hAnsi="宋体" w:eastAsia="仿宋_GB2312" w:cs="宋体"/>
          <w:color w:val="000000"/>
          <w:kern w:val="0"/>
          <w:sz w:val="28"/>
          <w:szCs w:val="28"/>
        </w:rPr>
        <w:t>创</w:t>
      </w:r>
      <w:r>
        <w:rPr>
          <w:rFonts w:hint="eastAsia" w:ascii="仿宋_GB2312" w:hAnsi="MS Mincho" w:eastAsia="仿宋_GB2312" w:cs="MS Mincho"/>
          <w:color w:val="000000"/>
          <w:kern w:val="0"/>
          <w:sz w:val="28"/>
          <w:szCs w:val="28"/>
        </w:rPr>
        <w:t>意等中小微企业</w:t>
      </w:r>
      <w:r>
        <w:rPr>
          <w:rFonts w:hint="eastAsia" w:ascii="仿宋_GB2312" w:eastAsia="仿宋_GB2312"/>
          <w:color w:val="000000"/>
          <w:sz w:val="28"/>
          <w:szCs w:val="28"/>
        </w:rPr>
        <w:t>就业比例亦在增加，</w:t>
      </w:r>
      <w:r>
        <w:rPr>
          <w:rFonts w:hint="eastAsia" w:ascii="仿宋_GB2312" w:hAnsi="宋体" w:eastAsia="仿宋_GB2312" w:cs="宋体"/>
          <w:color w:val="000000"/>
          <w:kern w:val="0"/>
          <w:sz w:val="28"/>
          <w:szCs w:val="28"/>
        </w:rPr>
        <w:t>发展逐步多元化。</w:t>
      </w:r>
      <w:r>
        <w:rPr>
          <w:rFonts w:hint="eastAsia" w:ascii="仿宋_GB2312" w:eastAsia="仿宋_GB2312"/>
          <w:color w:val="000000"/>
          <w:sz w:val="28"/>
          <w:szCs w:val="28"/>
        </w:rPr>
        <w:t>具体情况详见图</w:t>
      </w:r>
      <w:r>
        <w:rPr>
          <w:rFonts w:ascii="仿宋_GB2312" w:eastAsia="仿宋_GB2312"/>
          <w:color w:val="000000"/>
          <w:sz w:val="28"/>
          <w:szCs w:val="28"/>
        </w:rPr>
        <w:t>6-</w:t>
      </w:r>
      <w:r>
        <w:rPr>
          <w:rFonts w:hint="eastAsia" w:ascii="仿宋_GB2312" w:eastAsia="仿宋_GB2312"/>
          <w:color w:val="000000"/>
          <w:sz w:val="28"/>
          <w:szCs w:val="28"/>
        </w:rPr>
        <w:t>1</w:t>
      </w:r>
    </w:p>
    <w:p>
      <w:pPr>
        <w:ind w:firstLine="1506" w:firstLineChars="500"/>
        <w:rPr>
          <w:rFonts w:ascii="仿宋_GB2312" w:eastAsia="仿宋_GB2312"/>
          <w:b/>
          <w:sz w:val="30"/>
          <w:szCs w:val="30"/>
        </w:rPr>
      </w:pPr>
      <w:r>
        <w:rPr>
          <w:rFonts w:hint="eastAsia" w:ascii="仿宋_GB2312" w:eastAsia="仿宋_GB2312"/>
          <w:b/>
          <w:sz w:val="30"/>
          <w:szCs w:val="30"/>
        </w:rPr>
        <w:t>图</w:t>
      </w:r>
      <w:r>
        <w:rPr>
          <w:rFonts w:ascii="仿宋_GB2312" w:eastAsia="仿宋_GB2312"/>
          <w:b/>
          <w:sz w:val="30"/>
          <w:szCs w:val="30"/>
        </w:rPr>
        <w:t>6-</w:t>
      </w:r>
      <w:r>
        <w:rPr>
          <w:rFonts w:hint="eastAsia" w:ascii="仿宋_GB2312" w:eastAsia="仿宋_GB2312"/>
          <w:b/>
          <w:sz w:val="30"/>
          <w:szCs w:val="30"/>
        </w:rPr>
        <w:t>1</w:t>
      </w:r>
      <w:r>
        <w:rPr>
          <w:rFonts w:ascii="仿宋_GB2312" w:eastAsia="仿宋_GB2312"/>
          <w:b/>
          <w:sz w:val="30"/>
          <w:szCs w:val="30"/>
        </w:rPr>
        <w:t xml:space="preserve">  201</w:t>
      </w:r>
      <w:r>
        <w:rPr>
          <w:rFonts w:hint="eastAsia" w:ascii="仿宋_GB2312" w:eastAsia="仿宋_GB2312"/>
          <w:b/>
          <w:sz w:val="30"/>
          <w:szCs w:val="30"/>
        </w:rPr>
        <w:t>9届毕业生就业单位行业分布图</w:t>
      </w:r>
    </w:p>
    <w:p>
      <w:pPr>
        <w:rPr>
          <w:rFonts w:ascii="仿宋_GB2312" w:eastAsia="仿宋_GB2312"/>
          <w:b/>
          <w:sz w:val="28"/>
          <w:szCs w:val="28"/>
        </w:rPr>
      </w:pPr>
      <w:r>
        <w:rPr>
          <w:rFonts w:ascii="仿宋_GB2312" w:eastAsia="仿宋_GB2312"/>
          <w:b/>
          <w:sz w:val="28"/>
          <w:szCs w:val="28"/>
        </w:rPr>
        <w:drawing>
          <wp:inline distT="0" distB="0" distL="114300" distR="114300">
            <wp:extent cx="5391150" cy="3276600"/>
            <wp:effectExtent l="4445" t="4445" r="14605" b="14605"/>
            <wp:docPr id="15"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jc w:val="center"/>
        <w:rPr>
          <w:rFonts w:ascii="仿宋_GB2312" w:eastAsia="仿宋_GB2312"/>
          <w:b/>
          <w:color w:val="FF0000"/>
          <w:sz w:val="28"/>
          <w:szCs w:val="28"/>
        </w:rPr>
      </w:pPr>
    </w:p>
    <w:p>
      <w:pPr>
        <w:pStyle w:val="3"/>
        <w:spacing w:before="0" w:after="0"/>
        <w:rPr>
          <w:rFonts w:ascii="仿宋_GB2312" w:eastAsia="仿宋_GB2312"/>
          <w:color w:val="1F497D"/>
          <w:sz w:val="30"/>
          <w:szCs w:val="30"/>
        </w:rPr>
      </w:pPr>
      <w:bookmarkStart w:id="95" w:name="_Toc2302"/>
      <w:bookmarkStart w:id="96" w:name="_Toc21658"/>
      <w:bookmarkStart w:id="97" w:name="_Toc437501618"/>
      <w:bookmarkStart w:id="98" w:name="_Toc437501616"/>
      <w:bookmarkStart w:id="99" w:name="_Toc437032039"/>
      <w:r>
        <w:rPr>
          <w:rFonts w:hint="eastAsia" w:ascii="仿宋_GB2312" w:eastAsia="仿宋_GB2312"/>
          <w:color w:val="1F497D"/>
          <w:sz w:val="30"/>
          <w:szCs w:val="30"/>
        </w:rPr>
        <w:t>6.2就业地域日趋广泛</w:t>
      </w:r>
      <w:bookmarkEnd w:id="95"/>
      <w:bookmarkEnd w:id="96"/>
    </w:p>
    <w:p>
      <w:pPr>
        <w:pStyle w:val="63"/>
        <w:ind w:firstLine="560" w:firstLineChars="200"/>
        <w:rPr>
          <w:rFonts w:ascii="仿宋_GB2312" w:eastAsia="仿宋_GB2312"/>
          <w:color w:val="000000"/>
          <w:sz w:val="28"/>
          <w:szCs w:val="28"/>
        </w:rPr>
      </w:pPr>
      <w:r>
        <w:rPr>
          <w:rFonts w:hint="eastAsia" w:ascii="仿宋_GB2312" w:eastAsia="仿宋_GB2312"/>
          <w:color w:val="000000"/>
          <w:sz w:val="28"/>
          <w:szCs w:val="28"/>
        </w:rPr>
        <w:t>从我校</w:t>
      </w:r>
      <w:r>
        <w:rPr>
          <w:rFonts w:ascii="仿宋_GB2312" w:eastAsia="仿宋_GB2312"/>
          <w:color w:val="000000"/>
          <w:sz w:val="28"/>
          <w:szCs w:val="28"/>
        </w:rPr>
        <w:t>201</w:t>
      </w:r>
      <w:r>
        <w:rPr>
          <w:rFonts w:hint="eastAsia" w:ascii="仿宋_GB2312" w:eastAsia="仿宋_GB2312"/>
          <w:color w:val="000000"/>
          <w:sz w:val="28"/>
          <w:szCs w:val="28"/>
        </w:rPr>
        <w:t>9届毕业生就业地域流向分布来看，毕业生就业地区覆盖全国26个省市、自治区，由原来的相对集中</w:t>
      </w:r>
      <w:bookmarkEnd w:id="97"/>
      <w:r>
        <w:rPr>
          <w:rFonts w:hint="eastAsia" w:ascii="仿宋_GB2312" w:eastAsia="仿宋_GB2312"/>
          <w:color w:val="000000"/>
          <w:sz w:val="28"/>
          <w:szCs w:val="28"/>
        </w:rPr>
        <w:t>在湖南地区，逐步</w:t>
      </w:r>
      <w:r>
        <w:rPr>
          <w:rFonts w:hint="eastAsia" w:ascii="仿宋_GB2312" w:hAnsi="宋体" w:eastAsia="仿宋_GB2312"/>
          <w:color w:val="000000"/>
          <w:sz w:val="28"/>
          <w:szCs w:val="28"/>
        </w:rPr>
        <w:t>形成了以长株潭地区为中心，向珠三角、长三角等沿海地区及中西部地区辐射的就业格局。</w:t>
      </w:r>
      <w:r>
        <w:rPr>
          <w:rFonts w:hint="eastAsia" w:ascii="仿宋_GB2312" w:eastAsia="仿宋_GB2312"/>
          <w:color w:val="000000"/>
          <w:sz w:val="28"/>
          <w:szCs w:val="28"/>
        </w:rPr>
        <w:t>这主要与生源结构和区域经济发展水平紧密相关，也进一步体现了学校立足湖南，服务全国的定位，具体情况详见图</w:t>
      </w:r>
      <w:r>
        <w:rPr>
          <w:rFonts w:ascii="仿宋_GB2312" w:eastAsia="仿宋_GB2312"/>
          <w:color w:val="000000"/>
          <w:sz w:val="28"/>
          <w:szCs w:val="28"/>
        </w:rPr>
        <w:t>6-</w:t>
      </w:r>
      <w:r>
        <w:rPr>
          <w:rFonts w:hint="eastAsia" w:ascii="仿宋_GB2312" w:eastAsia="仿宋_GB2312"/>
          <w:color w:val="000000"/>
          <w:sz w:val="28"/>
          <w:szCs w:val="28"/>
        </w:rPr>
        <w:t>2。</w:t>
      </w:r>
    </w:p>
    <w:p>
      <w:pPr>
        <w:ind w:firstLine="894" w:firstLineChars="297"/>
        <w:rPr>
          <w:rFonts w:ascii="仿宋_GB2312" w:eastAsia="仿宋_GB2312"/>
          <w:b/>
          <w:sz w:val="30"/>
          <w:szCs w:val="30"/>
        </w:rPr>
      </w:pPr>
      <w:r>
        <w:rPr>
          <w:rFonts w:hint="eastAsia" w:ascii="仿宋_GB2312" w:eastAsia="仿宋_GB2312"/>
          <w:b/>
          <w:sz w:val="30"/>
          <w:szCs w:val="30"/>
        </w:rPr>
        <w:t>图</w:t>
      </w:r>
      <w:r>
        <w:rPr>
          <w:rFonts w:ascii="仿宋_GB2312" w:eastAsia="仿宋_GB2312"/>
          <w:b/>
          <w:sz w:val="30"/>
          <w:szCs w:val="30"/>
        </w:rPr>
        <w:t>6-</w:t>
      </w:r>
      <w:r>
        <w:rPr>
          <w:rFonts w:hint="eastAsia" w:ascii="仿宋_GB2312" w:eastAsia="仿宋_GB2312"/>
          <w:b/>
          <w:sz w:val="30"/>
          <w:szCs w:val="30"/>
        </w:rPr>
        <w:t>2</w:t>
      </w:r>
      <w:r>
        <w:rPr>
          <w:rFonts w:ascii="仿宋_GB2312" w:eastAsia="仿宋_GB2312"/>
          <w:b/>
          <w:sz w:val="30"/>
          <w:szCs w:val="30"/>
        </w:rPr>
        <w:t xml:space="preserve">  </w:t>
      </w:r>
      <w:r>
        <w:rPr>
          <w:rFonts w:hint="eastAsia" w:ascii="仿宋_GB2312" w:eastAsia="仿宋_GB2312"/>
          <w:b/>
          <w:sz w:val="30"/>
          <w:szCs w:val="30"/>
        </w:rPr>
        <w:t xml:space="preserve"> 2019届毕业生就业单位地区人数分布图</w:t>
      </w:r>
    </w:p>
    <w:p>
      <w:pPr>
        <w:autoSpaceDE w:val="0"/>
        <w:autoSpaceDN w:val="0"/>
        <w:adjustRightInd w:val="0"/>
        <w:jc w:val="left"/>
        <w:rPr>
          <w:rFonts w:ascii="仿宋_GB2312" w:hAnsi="宋体" w:eastAsia="仿宋_GB2312" w:cs="宋体"/>
          <w:b/>
          <w:color w:val="0070C0"/>
          <w:kern w:val="0"/>
          <w:sz w:val="28"/>
          <w:szCs w:val="28"/>
        </w:rPr>
      </w:pPr>
      <w:bookmarkStart w:id="100" w:name="_Toc2045"/>
      <w:r>
        <w:rPr>
          <w:rFonts w:ascii="仿宋_GB2312" w:hAnsi="宋体" w:eastAsia="仿宋_GB2312" w:cs="宋体"/>
          <w:b/>
          <w:color w:val="0070C0"/>
          <w:kern w:val="0"/>
          <w:sz w:val="28"/>
          <w:szCs w:val="28"/>
        </w:rPr>
        <w:drawing>
          <wp:inline distT="0" distB="0" distL="114300" distR="114300">
            <wp:extent cx="5276850" cy="3181350"/>
            <wp:effectExtent l="5080" t="4445" r="13970" b="14605"/>
            <wp:docPr id="16" name="图表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3"/>
        <w:spacing w:before="0" w:after="0"/>
        <w:rPr>
          <w:rFonts w:ascii="仿宋_GB2312" w:eastAsia="仿宋_GB2312"/>
          <w:color w:val="1F497D"/>
          <w:sz w:val="30"/>
          <w:szCs w:val="30"/>
        </w:rPr>
      </w:pPr>
      <w:bookmarkStart w:id="101" w:name="_Toc29119"/>
      <w:r>
        <w:rPr>
          <w:rFonts w:hint="eastAsia" w:ascii="仿宋_GB2312" w:eastAsia="仿宋_GB2312"/>
          <w:color w:val="1F497D"/>
          <w:sz w:val="30"/>
          <w:szCs w:val="30"/>
        </w:rPr>
        <w:t>6.3升学率逐年增高，升入高校质量稳步提升</w:t>
      </w:r>
      <w:bookmarkEnd w:id="100"/>
      <w:bookmarkEnd w:id="101"/>
    </w:p>
    <w:p>
      <w:pPr>
        <w:pStyle w:val="63"/>
        <w:ind w:firstLine="560" w:firstLineChars="200"/>
        <w:rPr>
          <w:rFonts w:ascii="仿宋_GB2312" w:eastAsia="仿宋_GB2312"/>
          <w:color w:val="000000"/>
          <w:sz w:val="28"/>
          <w:szCs w:val="28"/>
        </w:rPr>
      </w:pPr>
      <w:bookmarkStart w:id="102" w:name="_Toc437274202"/>
      <w:bookmarkStart w:id="103" w:name="_Toc437501626"/>
      <w:bookmarkStart w:id="104" w:name="_Toc28255"/>
      <w:bookmarkStart w:id="105" w:name="_Toc22501"/>
      <w:r>
        <w:rPr>
          <w:rFonts w:hint="eastAsia" w:ascii="仿宋_GB2312" w:hAnsi="宋体" w:eastAsia="仿宋_GB2312"/>
          <w:color w:val="000000"/>
          <w:sz w:val="28"/>
          <w:szCs w:val="28"/>
        </w:rPr>
        <w:t>近年来，学校毕业生继续深造总人数和继续深造比例逐年增加，从我校毕业生继续深造去向可以看出，毕业生出国出境去向主要包括英国、法国、澳大利亚、韩国和日本等国家和地区。升学高校质量也稳步提升。</w:t>
      </w:r>
      <w:bookmarkEnd w:id="102"/>
      <w:bookmarkEnd w:id="103"/>
      <w:r>
        <w:rPr>
          <w:rFonts w:hint="eastAsia" w:ascii="仿宋_GB2312" w:eastAsia="仿宋_GB2312"/>
          <w:color w:val="000000"/>
          <w:sz w:val="28"/>
          <w:szCs w:val="28"/>
        </w:rPr>
        <w:t>具体情况详见图</w:t>
      </w:r>
      <w:r>
        <w:rPr>
          <w:rFonts w:ascii="仿宋_GB2312" w:eastAsia="仿宋_GB2312"/>
          <w:color w:val="000000"/>
          <w:sz w:val="28"/>
          <w:szCs w:val="28"/>
        </w:rPr>
        <w:t>6-</w:t>
      </w:r>
      <w:r>
        <w:rPr>
          <w:rFonts w:hint="eastAsia" w:ascii="仿宋_GB2312" w:eastAsia="仿宋_GB2312"/>
          <w:color w:val="000000"/>
          <w:sz w:val="28"/>
          <w:szCs w:val="28"/>
        </w:rPr>
        <w:t>3。</w:t>
      </w:r>
    </w:p>
    <w:p>
      <w:pPr>
        <w:ind w:firstLine="1958" w:firstLineChars="650"/>
        <w:rPr>
          <w:rFonts w:ascii="仿宋_GB2312" w:eastAsia="仿宋_GB2312" w:cs="黑体"/>
          <w:b/>
          <w:kern w:val="0"/>
          <w:sz w:val="30"/>
          <w:szCs w:val="30"/>
        </w:rPr>
      </w:pPr>
      <w:r>
        <w:rPr>
          <w:rFonts w:hint="eastAsia" w:ascii="仿宋_GB2312" w:eastAsia="仿宋_GB2312" w:cs="黑体"/>
          <w:b/>
          <w:kern w:val="0"/>
          <w:sz w:val="30"/>
          <w:szCs w:val="30"/>
        </w:rPr>
        <w:t>图</w:t>
      </w:r>
      <w:r>
        <w:rPr>
          <w:rFonts w:ascii="仿宋_GB2312" w:eastAsia="仿宋_GB2312" w:cs="黑体"/>
          <w:b/>
          <w:kern w:val="0"/>
          <w:sz w:val="30"/>
          <w:szCs w:val="30"/>
        </w:rPr>
        <w:t>6-</w:t>
      </w:r>
      <w:r>
        <w:rPr>
          <w:rFonts w:hint="eastAsia" w:ascii="仿宋_GB2312" w:eastAsia="仿宋_GB2312" w:cs="黑体"/>
          <w:b/>
          <w:kern w:val="0"/>
          <w:sz w:val="30"/>
          <w:szCs w:val="30"/>
        </w:rPr>
        <w:t>3  近三年毕业生升学比例对比图</w:t>
      </w:r>
    </w:p>
    <w:p>
      <w:pPr>
        <w:rPr>
          <w:rFonts w:ascii="仿宋_GB2312" w:eastAsia="仿宋_GB2312" w:cs="黑体"/>
          <w:b/>
          <w:kern w:val="0"/>
          <w:sz w:val="28"/>
          <w:szCs w:val="28"/>
        </w:rPr>
      </w:pPr>
      <w:r>
        <w:rPr>
          <w:rFonts w:ascii="仿宋_GB2312" w:eastAsia="仿宋_GB2312" w:cs="黑体"/>
          <w:b/>
          <w:kern w:val="0"/>
          <w:sz w:val="28"/>
          <w:szCs w:val="28"/>
        </w:rPr>
        <w:drawing>
          <wp:inline distT="0" distB="0" distL="114300" distR="114300">
            <wp:extent cx="5391150" cy="2743200"/>
            <wp:effectExtent l="4445" t="4445" r="14605" b="14605"/>
            <wp:docPr id="17" name="图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bookmarkEnd w:id="104"/>
    <w:bookmarkEnd w:id="105"/>
    <w:p>
      <w:pPr>
        <w:pStyle w:val="3"/>
        <w:spacing w:before="0" w:after="0"/>
        <w:rPr>
          <w:rFonts w:ascii="仿宋_GB2312" w:eastAsia="仿宋_GB2312"/>
          <w:color w:val="1F497D"/>
          <w:sz w:val="30"/>
          <w:szCs w:val="30"/>
        </w:rPr>
      </w:pPr>
      <w:bookmarkStart w:id="106" w:name="_Toc10865"/>
      <w:r>
        <w:rPr>
          <w:rFonts w:hint="eastAsia" w:ascii="仿宋_GB2312" w:eastAsia="仿宋_GB2312"/>
          <w:color w:val="1F497D"/>
          <w:sz w:val="30"/>
          <w:szCs w:val="30"/>
        </w:rPr>
        <w:t>6.4 创新创业工作全面铺开，成效显著</w:t>
      </w:r>
      <w:bookmarkEnd w:id="106"/>
    </w:p>
    <w:p>
      <w:pPr>
        <w:ind w:firstLine="560" w:firstLineChars="200"/>
        <w:rPr>
          <w:rFonts w:ascii="仿宋_GB2312" w:hAnsi="仿宋" w:eastAsia="仿宋_GB2312" w:cs="仿宋"/>
          <w:color w:val="000000"/>
          <w:sz w:val="28"/>
          <w:szCs w:val="28"/>
        </w:rPr>
      </w:pPr>
      <w:r>
        <w:rPr>
          <w:rFonts w:hint="eastAsia" w:ascii="仿宋_GB2312" w:hAnsi="仿宋" w:eastAsia="仿宋_GB2312"/>
          <w:color w:val="000000"/>
          <w:sz w:val="28"/>
          <w:szCs w:val="28"/>
        </w:rPr>
        <w:t>1、</w:t>
      </w:r>
      <w:r>
        <w:rPr>
          <w:rFonts w:hint="eastAsia" w:ascii="仿宋_GB2312" w:hAnsi="仿宋" w:eastAsia="仿宋_GB2312" w:cs="仿宋"/>
          <w:color w:val="000000"/>
          <w:sz w:val="28"/>
          <w:szCs w:val="28"/>
        </w:rPr>
        <w:t>加强大学生创业项目的孵化培育，一些突出专业特色的、服务于基层的项目脱颖而出。学校</w:t>
      </w:r>
      <w:r>
        <w:rPr>
          <w:rFonts w:hint="eastAsia" w:ascii="仿宋_GB2312" w:hAnsi="仿宋" w:eastAsia="仿宋_GB2312"/>
          <w:color w:val="000000"/>
          <w:sz w:val="28"/>
          <w:szCs w:val="28"/>
        </w:rPr>
        <w:t>创业项目所提供的产品和服务，总体上，团队成员与所学专业密切关联，</w:t>
      </w:r>
      <w:r>
        <w:rPr>
          <w:rFonts w:hint="eastAsia" w:ascii="仿宋_GB2312" w:hAnsi="仿宋" w:eastAsia="仿宋_GB2312" w:cs="仿宋"/>
          <w:color w:val="000000"/>
          <w:sz w:val="28"/>
          <w:szCs w:val="28"/>
        </w:rPr>
        <w:t>专业特色突出</w:t>
      </w:r>
      <w:r>
        <w:rPr>
          <w:rFonts w:hint="eastAsia" w:ascii="仿宋_GB2312" w:hAnsi="仿宋" w:eastAsia="仿宋_GB2312"/>
          <w:color w:val="000000"/>
          <w:sz w:val="28"/>
          <w:szCs w:val="28"/>
        </w:rPr>
        <w:t>。会计专业学生创办的“厚信财务代理有限公司”、房地产专业学生创办的“壹居房产”、物流专业学生创办的“厚生ISO专递服务有限公司”等。会计学院学生夏次龙成立了“村官一号”家庭农场。带领本村村民组建了农村合作社，可以辐射带动周边200余户农户进行黄牛养殖，2017年年收入接近100万，目前联合桃江县政府打造的“一乡一品”战略，已整合各乡各村特产几十种进行了包装与注册，通过线上线下经营模式，解决了近200人就业。其中“村官一号”与“领讯财务”被教育厅学生处作为创业典型报导。</w:t>
      </w:r>
    </w:p>
    <w:p>
      <w:pPr>
        <w:ind w:firstLine="560" w:firstLineChars="200"/>
        <w:rPr>
          <w:rFonts w:ascii="仿宋_GB2312" w:hAnsi="仿宋" w:eastAsia="仿宋_GB2312"/>
          <w:color w:val="000000"/>
          <w:sz w:val="28"/>
          <w:szCs w:val="28"/>
        </w:rPr>
      </w:pPr>
      <w:r>
        <w:rPr>
          <w:rFonts w:hint="eastAsia" w:ascii="仿宋_GB2312" w:hAnsi="仿宋" w:eastAsia="仿宋_GB2312"/>
          <w:color w:val="000000"/>
          <w:sz w:val="28"/>
          <w:szCs w:val="28"/>
        </w:rPr>
        <w:t>2、鼓励支持创新创业项目及各类大赛， 创新创业大赛成绩突出。近年来，学校积极组织学生参加“互联网+”、“挑战杯”、创新创业大赛等赛事活动，2015年-2016年获省级奖项6项；2016年-2017年获国家级奖项1项，省级奖项5项；2017年-2018年获国家级奖项1项，省级奖项9项。2016-2019年，我校共立项国家级大学生创新创业训练计划项目27项，省级立项98项。2019年立项国家级大学生创新创业训练计划项目17项，省级立项32项，校级50项目。2019年大学生创新创业训练计划项目结项35项，研究成果丰硕，在国内外刊物上发表论文40余篇、获计算机软件著作权1项。</w:t>
      </w:r>
    </w:p>
    <w:p>
      <w:pPr>
        <w:ind w:firstLine="560" w:firstLineChars="200"/>
        <w:rPr>
          <w:rFonts w:ascii="仿宋_GB2312" w:hAnsi="仿宋" w:eastAsia="仿宋_GB2312"/>
          <w:color w:val="000000"/>
          <w:sz w:val="28"/>
          <w:szCs w:val="28"/>
        </w:rPr>
      </w:pPr>
      <w:r>
        <w:rPr>
          <w:rFonts w:hint="eastAsia" w:ascii="仿宋_GB2312" w:hAnsi="仿宋" w:eastAsia="仿宋_GB2312"/>
          <w:color w:val="000000"/>
          <w:sz w:val="28"/>
          <w:szCs w:val="28"/>
        </w:rPr>
        <w:t>3、积极开展“专创融合”工作，近年来，学校积极申报了一批省级创新创业教育中心和基地。2018年被湖南省科技厅认定为“省级众创空间”，2019年被长沙市人社局认定为“市级创业孵化基地”，2013-2019年申报各学科专业相关的省级创新创业中心6个，创新创业教育基地5个。</w:t>
      </w:r>
      <w:bookmarkEnd w:id="98"/>
      <w:bookmarkEnd w:id="99"/>
    </w:p>
    <w:sectPr>
      <w:footerReference r:id="rId6" w:type="default"/>
      <w:pgSz w:w="11906" w:h="16838"/>
      <w:pgMar w:top="1701" w:right="1800" w:bottom="1440" w:left="1800" w:header="851" w:footer="992" w:gutter="0"/>
      <w:pgNumType w:start="1"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Cambria">
    <w:panose1 w:val="02040503050406030204"/>
    <w:charset w:val="00"/>
    <w:family w:val="roman"/>
    <w:pitch w:val="default"/>
    <w:sig w:usb0="A00002EF" w:usb1="4000004B" w:usb2="00000000" w:usb3="00000000" w:csb0="2000009F" w:csb1="00000000"/>
  </w:font>
  <w:font w:name="华文楷体">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0" w:usb3="00000000" w:csb0="00000001" w:csb1="00000000"/>
  </w:font>
  <w:font w:name="方正小标宋简体">
    <w:altName w:val="Arial Unicode MS"/>
    <w:panose1 w:val="00000000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螳倶ｽ">
    <w:altName w:val="MS Mincho"/>
    <w:panose1 w:val="00000000000000000000"/>
    <w:charset w:val="80"/>
    <w:family w:val="auto"/>
    <w:pitch w:val="default"/>
    <w:sig w:usb0="00000000" w:usb1="00000000" w:usb2="00000010" w:usb3="00000000" w:csb0="00020000" w:csb1="00000000"/>
  </w:font>
  <w:font w:name="MS Mincho">
    <w:panose1 w:val="02020609040205080304"/>
    <w:charset w:val="80"/>
    <w:family w:val="modern"/>
    <w:pitch w:val="default"/>
    <w:sig w:usb0="E00002FF" w:usb1="6AC7FDFB" w:usb2="00000012" w:usb3="00000000" w:csb0="4002009F" w:csb1="DFD7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rPr>
                              <w:rFonts w:ascii="Times New Roman" w:hAnsi="Times New Roman" w:eastAsia="宋体"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rPr>
                            <w:t>26</w:t>
                          </w:r>
                          <w:r>
                            <w:rPr>
                              <w:rFonts w:ascii="Times New Roman" w:hAnsi="Times New Roman" w:cs="Times New Roman"/>
                              <w:sz w:val="20"/>
                              <w:szCs w:val="20"/>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PtsZ8ZAgAAIwQAAA4AAABkcnMvZTJvRG9jLnhtbK1Ty47TMBTdI/EP&#10;lvc0aRGjqmo6KjMqQqqYkQpi7TpOE8kv2W6T8gHwB6zYsOe7+h0cO0kHASvExr72fZ977vK2U5Kc&#10;hPON0QWdTnJKhOambPShoB/eb17MKfGB6ZJJo0VBz8LT29XzZ8vWLsTM1EaWwhEE0X7R2oLWIdhF&#10;lnleC8X8xFihoayMUyzg6Q5Z6ViL6Epmszy/yVrjSusMF97j975X0lWKX1WCh4eq8iIQWVDUFtLp&#10;0rmPZ7ZassXBMVs3fCiD/UMVijUaSa+h7llg5OiaP0KphjvjTRUm3KjMVFXDReoB3Uzz37rZ1cyK&#10;1AvA8fYKk/9/Yfm706MjTYnZYVKaKczo8vXL5duPy/fPBH8AqLV+AbudhWXoXpsOxuO/x2fsu6uc&#10;ijc6ItAD6vMVXtEFwqPTfDaf51Bx6MYH4mdP7tb58EYYRaJQUIf5JVjZaetDbzqaxGzabBop0wyl&#10;Jm1Bb16+ypPDVYPgUkdbkdgwhIkt9aVHKXT7buhzb8oz2nSmZ4q3fNOglC3z4ZE5UAPlg+7hAUcl&#10;DVKaQaKkNu7T3/6jPSYGLSUtqFZQjV2gRL7VmGRk5Si4UdiPgj6qOwPuTrFGlicRDi7IUaycUR+x&#10;A+uYAyqmOTIVNIziXejpjh3iYr1ORkfrmkPdO4CHloWt3lke00SovF0fA6BNiEeAelQwqfgAE9PM&#10;hq2JVP/1nayednv1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JWO7QAAAABQEAAA8AAAAAAAAA&#10;AQAgAAAAIgAAAGRycy9kb3ducmV2LnhtbFBLAQIUABQAAAAIAIdO4kAD7bGfGQIAACMEAAAOAAAA&#10;AAAAAAEAIAAAAB8BAABkcnMvZTJvRG9jLnhtbFBLBQYAAAAABgAGAFkBAACqBQAAAAA=&#10;">
              <v:fill on="f" focussize="0,0"/>
              <v:stroke on="f" weight="0.5pt"/>
              <v:imagedata o:title=""/>
              <o:lock v:ext="edit" aspectratio="f"/>
              <v:textbox inset="0mm,0mm,0mm,0mm" style="mso-fit-shape-to-text:t;">
                <w:txbxContent>
                  <w:p>
                    <w:pPr>
                      <w:pStyle w:val="9"/>
                      <w:rPr>
                        <w:rFonts w:ascii="Times New Roman" w:hAnsi="Times New Roman" w:eastAsia="宋体"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rPr>
                      <w:t>26</w:t>
                    </w:r>
                    <w:r>
                      <w:rPr>
                        <w:rFonts w:ascii="Times New Roman" w:hAnsi="Times New Roman" w:cs="Times New Roman"/>
                        <w:sz w:val="20"/>
                        <w:szCs w:val="20"/>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3"/>
      </w:pPr>
      <w:r>
        <w:rPr>
          <w:rStyle w:val="39"/>
          <w:rFonts w:hint="eastAsia"/>
        </w:rPr>
        <w:t>③</w:t>
      </w:r>
      <w:r>
        <w:rPr>
          <w:rFonts w:hint="eastAsia"/>
        </w:rPr>
        <w:t>签约就业：指毕业生与用人单位签署教育部门统一的三方协议并办理报到证，派遣到单位的就业形式。</w:t>
      </w:r>
    </w:p>
  </w:footnote>
  <w:footnote w:id="1">
    <w:p>
      <w:pPr>
        <w:pStyle w:val="13"/>
      </w:pPr>
      <w:r>
        <w:rPr>
          <w:rStyle w:val="39"/>
          <w:rFonts w:hint="eastAsia"/>
        </w:rPr>
        <w:t>④</w:t>
      </w:r>
      <w:r>
        <w:rPr>
          <w:rFonts w:hint="eastAsia"/>
        </w:rPr>
        <w:t>灵活就业：指与弹性就业、劳务派遣和者自由职业者。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snapToGrid w:val="0"/>
      <w:jc w:val="center"/>
    </w:pPr>
    <w:r>
      <w:rPr>
        <w:rFonts w:ascii="Times New Roman" w:hAnsi="Times New Roman"/>
        <w:sz w:val="18"/>
        <w:szCs w:val="18"/>
      </w:rPr>
      <w:drawing>
        <wp:inline distT="0" distB="0" distL="114300" distR="114300">
          <wp:extent cx="1938020" cy="259080"/>
          <wp:effectExtent l="0" t="0" r="5080" b="7620"/>
          <wp:docPr id="19" name="图片 5" descr="C:\Users\Administrator\AppData\Local\Temp\ksohtml\wpsA7A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C:\Users\Administrator\AppData\Local\Temp\ksohtml\wpsA7A2.tmp.png"/>
                  <pic:cNvPicPr>
                    <a:picLocks noChangeAspect="1"/>
                  </pic:cNvPicPr>
                </pic:nvPicPr>
                <pic:blipFill>
                  <a:blip r:embed="rId1"/>
                  <a:stretch>
                    <a:fillRect/>
                  </a:stretch>
                </pic:blipFill>
                <pic:spPr>
                  <a:xfrm>
                    <a:off x="0" y="0"/>
                    <a:ext cx="1938020" cy="259080"/>
                  </a:xfrm>
                  <a:prstGeom prst="rect">
                    <a:avLst/>
                  </a:prstGeom>
                  <a:noFill/>
                  <a:ln>
                    <a:noFill/>
                  </a:ln>
                </pic:spPr>
              </pic:pic>
            </a:graphicData>
          </a:graphic>
        </wp:inline>
      </w:drawing>
    </w:r>
    <w:r>
      <w:rPr>
        <w:rFonts w:hint="eastAsia" w:ascii="宋体" w:hAnsi="宋体"/>
        <w:sz w:val="18"/>
        <w:szCs w:val="18"/>
      </w:rPr>
      <w:t xml:space="preserve">                    </w:t>
    </w:r>
    <w:r>
      <w:rPr>
        <w:rFonts w:ascii="Times New Roman" w:hAnsi="Times New Roman"/>
        <w:sz w:val="18"/>
        <w:szCs w:val="18"/>
      </w:rPr>
      <w:drawing>
        <wp:inline distT="0" distB="0" distL="114300" distR="114300">
          <wp:extent cx="2087880" cy="177165"/>
          <wp:effectExtent l="0" t="0" r="7620" b="13335"/>
          <wp:docPr id="20" name="图片 6" descr="C:\Users\Administrator\AppData\Local\Temp\ksohtml\wpsA7A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C:\Users\Administrator\AppData\Local\Temp\ksohtml\wpsA7A3.tmp.png"/>
                  <pic:cNvPicPr>
                    <a:picLocks noChangeAspect="1"/>
                  </pic:cNvPicPr>
                </pic:nvPicPr>
                <pic:blipFill>
                  <a:blip r:embed="rId2"/>
                  <a:stretch>
                    <a:fillRect/>
                  </a:stretch>
                </pic:blipFill>
                <pic:spPr>
                  <a:xfrm>
                    <a:off x="0" y="0"/>
                    <a:ext cx="2087880" cy="17716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4F1"/>
    <w:rsid w:val="0000373E"/>
    <w:rsid w:val="00003951"/>
    <w:rsid w:val="00004AC7"/>
    <w:rsid w:val="0000626C"/>
    <w:rsid w:val="00010B05"/>
    <w:rsid w:val="00016003"/>
    <w:rsid w:val="00016BB0"/>
    <w:rsid w:val="0002136F"/>
    <w:rsid w:val="00022CC9"/>
    <w:rsid w:val="000256C8"/>
    <w:rsid w:val="000331FB"/>
    <w:rsid w:val="0003327A"/>
    <w:rsid w:val="000342C2"/>
    <w:rsid w:val="000361C8"/>
    <w:rsid w:val="000416F8"/>
    <w:rsid w:val="00042C58"/>
    <w:rsid w:val="00044E31"/>
    <w:rsid w:val="0005467C"/>
    <w:rsid w:val="00054753"/>
    <w:rsid w:val="0005556A"/>
    <w:rsid w:val="000636D0"/>
    <w:rsid w:val="00064867"/>
    <w:rsid w:val="00072D51"/>
    <w:rsid w:val="00075B35"/>
    <w:rsid w:val="0008208A"/>
    <w:rsid w:val="0008732C"/>
    <w:rsid w:val="00090481"/>
    <w:rsid w:val="00094C50"/>
    <w:rsid w:val="000965AE"/>
    <w:rsid w:val="00097B6C"/>
    <w:rsid w:val="000B6680"/>
    <w:rsid w:val="000C2639"/>
    <w:rsid w:val="000D2F83"/>
    <w:rsid w:val="000D3834"/>
    <w:rsid w:val="000D56F6"/>
    <w:rsid w:val="000D6B78"/>
    <w:rsid w:val="000E0407"/>
    <w:rsid w:val="000E1324"/>
    <w:rsid w:val="000E75F7"/>
    <w:rsid w:val="000F240C"/>
    <w:rsid w:val="000F4136"/>
    <w:rsid w:val="00113B45"/>
    <w:rsid w:val="00123B37"/>
    <w:rsid w:val="00131A75"/>
    <w:rsid w:val="001327C4"/>
    <w:rsid w:val="001346F2"/>
    <w:rsid w:val="00134823"/>
    <w:rsid w:val="00143202"/>
    <w:rsid w:val="00144413"/>
    <w:rsid w:val="00147A59"/>
    <w:rsid w:val="001528AD"/>
    <w:rsid w:val="00155C1E"/>
    <w:rsid w:val="00156835"/>
    <w:rsid w:val="00170222"/>
    <w:rsid w:val="00170666"/>
    <w:rsid w:val="00181935"/>
    <w:rsid w:val="00197545"/>
    <w:rsid w:val="001A1F7B"/>
    <w:rsid w:val="001A4EAB"/>
    <w:rsid w:val="001A517E"/>
    <w:rsid w:val="001C3865"/>
    <w:rsid w:val="001C6B66"/>
    <w:rsid w:val="001D2695"/>
    <w:rsid w:val="001D78DF"/>
    <w:rsid w:val="001E187D"/>
    <w:rsid w:val="001E3057"/>
    <w:rsid w:val="001F0D14"/>
    <w:rsid w:val="001F31A5"/>
    <w:rsid w:val="001F6B2C"/>
    <w:rsid w:val="00201659"/>
    <w:rsid w:val="00205A5C"/>
    <w:rsid w:val="00205CFA"/>
    <w:rsid w:val="00210535"/>
    <w:rsid w:val="00223A6E"/>
    <w:rsid w:val="00226C48"/>
    <w:rsid w:val="002404A6"/>
    <w:rsid w:val="00243D7B"/>
    <w:rsid w:val="00246FF7"/>
    <w:rsid w:val="00254353"/>
    <w:rsid w:val="002558CE"/>
    <w:rsid w:val="00261222"/>
    <w:rsid w:val="0026647A"/>
    <w:rsid w:val="00283374"/>
    <w:rsid w:val="00283B9B"/>
    <w:rsid w:val="0028734D"/>
    <w:rsid w:val="002909FF"/>
    <w:rsid w:val="00295BE3"/>
    <w:rsid w:val="002A39AA"/>
    <w:rsid w:val="002A4C39"/>
    <w:rsid w:val="002A7DF4"/>
    <w:rsid w:val="002A7F41"/>
    <w:rsid w:val="002B029F"/>
    <w:rsid w:val="002B1637"/>
    <w:rsid w:val="002B178E"/>
    <w:rsid w:val="002B4A9A"/>
    <w:rsid w:val="002B650E"/>
    <w:rsid w:val="002C0FC1"/>
    <w:rsid w:val="002C165B"/>
    <w:rsid w:val="002C1A2A"/>
    <w:rsid w:val="002C3EAB"/>
    <w:rsid w:val="002C5728"/>
    <w:rsid w:val="002E28D7"/>
    <w:rsid w:val="002E69EE"/>
    <w:rsid w:val="002F2052"/>
    <w:rsid w:val="002F3D39"/>
    <w:rsid w:val="002F5C94"/>
    <w:rsid w:val="002F6C5D"/>
    <w:rsid w:val="002F7792"/>
    <w:rsid w:val="00303B50"/>
    <w:rsid w:val="003073CE"/>
    <w:rsid w:val="003121AE"/>
    <w:rsid w:val="00312453"/>
    <w:rsid w:val="003133EB"/>
    <w:rsid w:val="00320C1D"/>
    <w:rsid w:val="0032633E"/>
    <w:rsid w:val="00326D02"/>
    <w:rsid w:val="00327A7D"/>
    <w:rsid w:val="00327E63"/>
    <w:rsid w:val="00331336"/>
    <w:rsid w:val="00331837"/>
    <w:rsid w:val="0033305D"/>
    <w:rsid w:val="00333E31"/>
    <w:rsid w:val="003351AD"/>
    <w:rsid w:val="0033582E"/>
    <w:rsid w:val="00336135"/>
    <w:rsid w:val="003422B2"/>
    <w:rsid w:val="003550F8"/>
    <w:rsid w:val="003629C1"/>
    <w:rsid w:val="00363179"/>
    <w:rsid w:val="00364B16"/>
    <w:rsid w:val="00367F90"/>
    <w:rsid w:val="00371AE4"/>
    <w:rsid w:val="00373106"/>
    <w:rsid w:val="003763F5"/>
    <w:rsid w:val="003812E9"/>
    <w:rsid w:val="00383245"/>
    <w:rsid w:val="0038474B"/>
    <w:rsid w:val="00390789"/>
    <w:rsid w:val="003957DA"/>
    <w:rsid w:val="00395FAA"/>
    <w:rsid w:val="00397951"/>
    <w:rsid w:val="003A2FF8"/>
    <w:rsid w:val="003A59A0"/>
    <w:rsid w:val="003B28FE"/>
    <w:rsid w:val="003B4EBF"/>
    <w:rsid w:val="003B6552"/>
    <w:rsid w:val="003B77A9"/>
    <w:rsid w:val="003C1033"/>
    <w:rsid w:val="003C12C2"/>
    <w:rsid w:val="003C1879"/>
    <w:rsid w:val="003C2C3A"/>
    <w:rsid w:val="003D33DD"/>
    <w:rsid w:val="003D3863"/>
    <w:rsid w:val="003D3DEE"/>
    <w:rsid w:val="003E3840"/>
    <w:rsid w:val="003E3999"/>
    <w:rsid w:val="003E6F9D"/>
    <w:rsid w:val="003E794B"/>
    <w:rsid w:val="003F187A"/>
    <w:rsid w:val="003F2134"/>
    <w:rsid w:val="003F3FB7"/>
    <w:rsid w:val="003F752E"/>
    <w:rsid w:val="003F7B1E"/>
    <w:rsid w:val="0040119B"/>
    <w:rsid w:val="0042159D"/>
    <w:rsid w:val="00427770"/>
    <w:rsid w:val="004332C9"/>
    <w:rsid w:val="004474ED"/>
    <w:rsid w:val="0045206B"/>
    <w:rsid w:val="00453DD4"/>
    <w:rsid w:val="0045707D"/>
    <w:rsid w:val="00457B4B"/>
    <w:rsid w:val="00465D59"/>
    <w:rsid w:val="004738AC"/>
    <w:rsid w:val="00474444"/>
    <w:rsid w:val="00476D86"/>
    <w:rsid w:val="004822B4"/>
    <w:rsid w:val="00486BF8"/>
    <w:rsid w:val="00487BD2"/>
    <w:rsid w:val="004A2378"/>
    <w:rsid w:val="004A2BB3"/>
    <w:rsid w:val="004A33FA"/>
    <w:rsid w:val="004A4044"/>
    <w:rsid w:val="004A4F8A"/>
    <w:rsid w:val="004A6631"/>
    <w:rsid w:val="004B174F"/>
    <w:rsid w:val="004B36A1"/>
    <w:rsid w:val="004C1BA0"/>
    <w:rsid w:val="004C53AB"/>
    <w:rsid w:val="004C5901"/>
    <w:rsid w:val="004D43E9"/>
    <w:rsid w:val="004E27B5"/>
    <w:rsid w:val="004E31E9"/>
    <w:rsid w:val="004E598D"/>
    <w:rsid w:val="004E67D8"/>
    <w:rsid w:val="004E6944"/>
    <w:rsid w:val="004F11F0"/>
    <w:rsid w:val="004F4077"/>
    <w:rsid w:val="004F66BD"/>
    <w:rsid w:val="004F70D8"/>
    <w:rsid w:val="004F7820"/>
    <w:rsid w:val="00502CA3"/>
    <w:rsid w:val="00512EF5"/>
    <w:rsid w:val="005141BB"/>
    <w:rsid w:val="00517D51"/>
    <w:rsid w:val="00521263"/>
    <w:rsid w:val="00521BF6"/>
    <w:rsid w:val="00523769"/>
    <w:rsid w:val="005273A8"/>
    <w:rsid w:val="00532FFD"/>
    <w:rsid w:val="0055223A"/>
    <w:rsid w:val="0055256C"/>
    <w:rsid w:val="005529DB"/>
    <w:rsid w:val="00564D55"/>
    <w:rsid w:val="005662DE"/>
    <w:rsid w:val="00571245"/>
    <w:rsid w:val="00573CB9"/>
    <w:rsid w:val="005835CF"/>
    <w:rsid w:val="005909E3"/>
    <w:rsid w:val="00590FF1"/>
    <w:rsid w:val="005910A3"/>
    <w:rsid w:val="00591312"/>
    <w:rsid w:val="005962F2"/>
    <w:rsid w:val="00596596"/>
    <w:rsid w:val="005A2CC4"/>
    <w:rsid w:val="005A2DB2"/>
    <w:rsid w:val="005A3363"/>
    <w:rsid w:val="005B1B43"/>
    <w:rsid w:val="005B6687"/>
    <w:rsid w:val="005B732C"/>
    <w:rsid w:val="005C2DAA"/>
    <w:rsid w:val="005C308A"/>
    <w:rsid w:val="005C6D20"/>
    <w:rsid w:val="005D191D"/>
    <w:rsid w:val="005D1A1E"/>
    <w:rsid w:val="005D20B2"/>
    <w:rsid w:val="005D4DCE"/>
    <w:rsid w:val="005D555A"/>
    <w:rsid w:val="005E1683"/>
    <w:rsid w:val="005F0F94"/>
    <w:rsid w:val="005F660E"/>
    <w:rsid w:val="005F72BD"/>
    <w:rsid w:val="005F7B3F"/>
    <w:rsid w:val="00601ED4"/>
    <w:rsid w:val="0060537B"/>
    <w:rsid w:val="006135B6"/>
    <w:rsid w:val="006168D5"/>
    <w:rsid w:val="00623B08"/>
    <w:rsid w:val="00624A3A"/>
    <w:rsid w:val="0063179D"/>
    <w:rsid w:val="006404FA"/>
    <w:rsid w:val="006415DE"/>
    <w:rsid w:val="00641AD3"/>
    <w:rsid w:val="00641C05"/>
    <w:rsid w:val="006701BD"/>
    <w:rsid w:val="00684A8A"/>
    <w:rsid w:val="0068524E"/>
    <w:rsid w:val="00692739"/>
    <w:rsid w:val="006930C3"/>
    <w:rsid w:val="00693E06"/>
    <w:rsid w:val="006A0D41"/>
    <w:rsid w:val="006A1331"/>
    <w:rsid w:val="006B765F"/>
    <w:rsid w:val="006C08BF"/>
    <w:rsid w:val="006C46FD"/>
    <w:rsid w:val="006D5CB9"/>
    <w:rsid w:val="006F3AD5"/>
    <w:rsid w:val="006F40E1"/>
    <w:rsid w:val="006F5460"/>
    <w:rsid w:val="006F7A8A"/>
    <w:rsid w:val="00700D0A"/>
    <w:rsid w:val="007123D0"/>
    <w:rsid w:val="00714E8C"/>
    <w:rsid w:val="00716B30"/>
    <w:rsid w:val="007231A7"/>
    <w:rsid w:val="00724D50"/>
    <w:rsid w:val="00733D6E"/>
    <w:rsid w:val="00737097"/>
    <w:rsid w:val="0073773F"/>
    <w:rsid w:val="00747A45"/>
    <w:rsid w:val="00751304"/>
    <w:rsid w:val="0075279D"/>
    <w:rsid w:val="00752EDD"/>
    <w:rsid w:val="00752F40"/>
    <w:rsid w:val="00754706"/>
    <w:rsid w:val="007602C9"/>
    <w:rsid w:val="007630F3"/>
    <w:rsid w:val="00763B53"/>
    <w:rsid w:val="00770FFD"/>
    <w:rsid w:val="007712F1"/>
    <w:rsid w:val="00774783"/>
    <w:rsid w:val="00775475"/>
    <w:rsid w:val="0077614F"/>
    <w:rsid w:val="0078352C"/>
    <w:rsid w:val="00784C65"/>
    <w:rsid w:val="00786C44"/>
    <w:rsid w:val="00787DC5"/>
    <w:rsid w:val="007905AB"/>
    <w:rsid w:val="00793584"/>
    <w:rsid w:val="00796730"/>
    <w:rsid w:val="007A3931"/>
    <w:rsid w:val="007A3EF3"/>
    <w:rsid w:val="007A440A"/>
    <w:rsid w:val="007A71A5"/>
    <w:rsid w:val="007A7FB5"/>
    <w:rsid w:val="007B276B"/>
    <w:rsid w:val="007C01AA"/>
    <w:rsid w:val="007C01FD"/>
    <w:rsid w:val="007C1600"/>
    <w:rsid w:val="007C2881"/>
    <w:rsid w:val="007D14C3"/>
    <w:rsid w:val="007D5134"/>
    <w:rsid w:val="007D67C1"/>
    <w:rsid w:val="007E4071"/>
    <w:rsid w:val="007E6720"/>
    <w:rsid w:val="007E7D44"/>
    <w:rsid w:val="007F31CD"/>
    <w:rsid w:val="007F58AF"/>
    <w:rsid w:val="00804CD7"/>
    <w:rsid w:val="00815535"/>
    <w:rsid w:val="0081773F"/>
    <w:rsid w:val="00822F5A"/>
    <w:rsid w:val="00832DC6"/>
    <w:rsid w:val="0083411B"/>
    <w:rsid w:val="00834AEA"/>
    <w:rsid w:val="00835E3E"/>
    <w:rsid w:val="008364E1"/>
    <w:rsid w:val="0083654E"/>
    <w:rsid w:val="00836942"/>
    <w:rsid w:val="00837632"/>
    <w:rsid w:val="00841461"/>
    <w:rsid w:val="00853563"/>
    <w:rsid w:val="00855AE9"/>
    <w:rsid w:val="00867133"/>
    <w:rsid w:val="00872E06"/>
    <w:rsid w:val="008766BC"/>
    <w:rsid w:val="00880FD9"/>
    <w:rsid w:val="00885F47"/>
    <w:rsid w:val="00894F40"/>
    <w:rsid w:val="008A0501"/>
    <w:rsid w:val="008B43B3"/>
    <w:rsid w:val="008B4C02"/>
    <w:rsid w:val="008B5007"/>
    <w:rsid w:val="008B7C97"/>
    <w:rsid w:val="008C34D2"/>
    <w:rsid w:val="008C4D4B"/>
    <w:rsid w:val="008C5EFC"/>
    <w:rsid w:val="008C611E"/>
    <w:rsid w:val="008C6380"/>
    <w:rsid w:val="008C6A2E"/>
    <w:rsid w:val="008C7ABC"/>
    <w:rsid w:val="008D0F81"/>
    <w:rsid w:val="008D357B"/>
    <w:rsid w:val="008D4489"/>
    <w:rsid w:val="008D50AA"/>
    <w:rsid w:val="008D719F"/>
    <w:rsid w:val="008E1364"/>
    <w:rsid w:val="008E370A"/>
    <w:rsid w:val="008E4F00"/>
    <w:rsid w:val="008F1745"/>
    <w:rsid w:val="008F4FBF"/>
    <w:rsid w:val="008F6A6A"/>
    <w:rsid w:val="008F6E2D"/>
    <w:rsid w:val="008F7773"/>
    <w:rsid w:val="00902686"/>
    <w:rsid w:val="009052A9"/>
    <w:rsid w:val="00907BCB"/>
    <w:rsid w:val="00911E6A"/>
    <w:rsid w:val="00916ED4"/>
    <w:rsid w:val="00921237"/>
    <w:rsid w:val="00922AA5"/>
    <w:rsid w:val="00926B04"/>
    <w:rsid w:val="009365ED"/>
    <w:rsid w:val="00936A77"/>
    <w:rsid w:val="009375C9"/>
    <w:rsid w:val="009476EB"/>
    <w:rsid w:val="00950E58"/>
    <w:rsid w:val="0095283F"/>
    <w:rsid w:val="009612FC"/>
    <w:rsid w:val="00966F3F"/>
    <w:rsid w:val="00975DDD"/>
    <w:rsid w:val="00981E00"/>
    <w:rsid w:val="009833DF"/>
    <w:rsid w:val="009875E6"/>
    <w:rsid w:val="00987745"/>
    <w:rsid w:val="00993BEE"/>
    <w:rsid w:val="009957C1"/>
    <w:rsid w:val="009B03A8"/>
    <w:rsid w:val="009B2F49"/>
    <w:rsid w:val="009C22B1"/>
    <w:rsid w:val="009C2FBE"/>
    <w:rsid w:val="009C4B8A"/>
    <w:rsid w:val="009C55FB"/>
    <w:rsid w:val="009C71E3"/>
    <w:rsid w:val="009D10C8"/>
    <w:rsid w:val="009D2F7F"/>
    <w:rsid w:val="009D786F"/>
    <w:rsid w:val="009E45C9"/>
    <w:rsid w:val="009E71C4"/>
    <w:rsid w:val="00A00843"/>
    <w:rsid w:val="00A0319A"/>
    <w:rsid w:val="00A0422F"/>
    <w:rsid w:val="00A0527C"/>
    <w:rsid w:val="00A05C88"/>
    <w:rsid w:val="00A1176C"/>
    <w:rsid w:val="00A12F9A"/>
    <w:rsid w:val="00A14008"/>
    <w:rsid w:val="00A2664C"/>
    <w:rsid w:val="00A26EDA"/>
    <w:rsid w:val="00A308B9"/>
    <w:rsid w:val="00A31AE1"/>
    <w:rsid w:val="00A31F9B"/>
    <w:rsid w:val="00A35A9C"/>
    <w:rsid w:val="00A41EA2"/>
    <w:rsid w:val="00A427B6"/>
    <w:rsid w:val="00A4335F"/>
    <w:rsid w:val="00A52569"/>
    <w:rsid w:val="00A551FF"/>
    <w:rsid w:val="00A564B5"/>
    <w:rsid w:val="00A56566"/>
    <w:rsid w:val="00A56A93"/>
    <w:rsid w:val="00A605BA"/>
    <w:rsid w:val="00A62F07"/>
    <w:rsid w:val="00A64989"/>
    <w:rsid w:val="00A7228B"/>
    <w:rsid w:val="00A7594E"/>
    <w:rsid w:val="00A80193"/>
    <w:rsid w:val="00A80B30"/>
    <w:rsid w:val="00A81CA8"/>
    <w:rsid w:val="00A844A9"/>
    <w:rsid w:val="00A875B0"/>
    <w:rsid w:val="00A9089E"/>
    <w:rsid w:val="00A91FC5"/>
    <w:rsid w:val="00A920F0"/>
    <w:rsid w:val="00AA209E"/>
    <w:rsid w:val="00AB101A"/>
    <w:rsid w:val="00AB29C3"/>
    <w:rsid w:val="00AB4512"/>
    <w:rsid w:val="00AB723A"/>
    <w:rsid w:val="00AB7BB6"/>
    <w:rsid w:val="00AC313F"/>
    <w:rsid w:val="00AC50D6"/>
    <w:rsid w:val="00AD0EF4"/>
    <w:rsid w:val="00AD18BF"/>
    <w:rsid w:val="00AD7F24"/>
    <w:rsid w:val="00AE0BDF"/>
    <w:rsid w:val="00AE337D"/>
    <w:rsid w:val="00AF6BBC"/>
    <w:rsid w:val="00AF7648"/>
    <w:rsid w:val="00AF7BD7"/>
    <w:rsid w:val="00B00101"/>
    <w:rsid w:val="00B033EB"/>
    <w:rsid w:val="00B043DB"/>
    <w:rsid w:val="00B04FDE"/>
    <w:rsid w:val="00B05D9F"/>
    <w:rsid w:val="00B220CF"/>
    <w:rsid w:val="00B24AA6"/>
    <w:rsid w:val="00B255C1"/>
    <w:rsid w:val="00B27037"/>
    <w:rsid w:val="00B44CEF"/>
    <w:rsid w:val="00B466F1"/>
    <w:rsid w:val="00B50711"/>
    <w:rsid w:val="00B51DED"/>
    <w:rsid w:val="00B5397D"/>
    <w:rsid w:val="00B601FE"/>
    <w:rsid w:val="00B63BF2"/>
    <w:rsid w:val="00B66234"/>
    <w:rsid w:val="00B72763"/>
    <w:rsid w:val="00B73577"/>
    <w:rsid w:val="00B73B8F"/>
    <w:rsid w:val="00B74402"/>
    <w:rsid w:val="00B77C06"/>
    <w:rsid w:val="00B818A0"/>
    <w:rsid w:val="00B83AB7"/>
    <w:rsid w:val="00B902C2"/>
    <w:rsid w:val="00B91BB7"/>
    <w:rsid w:val="00B940A4"/>
    <w:rsid w:val="00B94C10"/>
    <w:rsid w:val="00B961A3"/>
    <w:rsid w:val="00BB112A"/>
    <w:rsid w:val="00BB5A7C"/>
    <w:rsid w:val="00BB7832"/>
    <w:rsid w:val="00BC1F26"/>
    <w:rsid w:val="00BC63BE"/>
    <w:rsid w:val="00BC6486"/>
    <w:rsid w:val="00BD10F6"/>
    <w:rsid w:val="00BD687E"/>
    <w:rsid w:val="00BD6BDE"/>
    <w:rsid w:val="00BE0101"/>
    <w:rsid w:val="00BE7C53"/>
    <w:rsid w:val="00BF23B2"/>
    <w:rsid w:val="00BF44F1"/>
    <w:rsid w:val="00BF5AAD"/>
    <w:rsid w:val="00C079A0"/>
    <w:rsid w:val="00C118F3"/>
    <w:rsid w:val="00C12F87"/>
    <w:rsid w:val="00C2506E"/>
    <w:rsid w:val="00C256DC"/>
    <w:rsid w:val="00C31DC7"/>
    <w:rsid w:val="00C32FCE"/>
    <w:rsid w:val="00C3607A"/>
    <w:rsid w:val="00C4569A"/>
    <w:rsid w:val="00C51C26"/>
    <w:rsid w:val="00C54E60"/>
    <w:rsid w:val="00C71B31"/>
    <w:rsid w:val="00C7499F"/>
    <w:rsid w:val="00C76FAB"/>
    <w:rsid w:val="00C87885"/>
    <w:rsid w:val="00C87F88"/>
    <w:rsid w:val="00C92EF8"/>
    <w:rsid w:val="00CA0DD9"/>
    <w:rsid w:val="00CA6314"/>
    <w:rsid w:val="00CA6A59"/>
    <w:rsid w:val="00CB23C4"/>
    <w:rsid w:val="00CB251D"/>
    <w:rsid w:val="00CB674E"/>
    <w:rsid w:val="00CC3418"/>
    <w:rsid w:val="00CC3A98"/>
    <w:rsid w:val="00CC4A79"/>
    <w:rsid w:val="00CC5BA0"/>
    <w:rsid w:val="00CC7985"/>
    <w:rsid w:val="00CD1883"/>
    <w:rsid w:val="00CD2B18"/>
    <w:rsid w:val="00CD615E"/>
    <w:rsid w:val="00CE13FA"/>
    <w:rsid w:val="00CE339D"/>
    <w:rsid w:val="00CE4678"/>
    <w:rsid w:val="00CF1120"/>
    <w:rsid w:val="00CF2B41"/>
    <w:rsid w:val="00D0181B"/>
    <w:rsid w:val="00D03A8D"/>
    <w:rsid w:val="00D0519F"/>
    <w:rsid w:val="00D231E1"/>
    <w:rsid w:val="00D246B3"/>
    <w:rsid w:val="00D31C96"/>
    <w:rsid w:val="00D337A3"/>
    <w:rsid w:val="00D34D98"/>
    <w:rsid w:val="00D34E2A"/>
    <w:rsid w:val="00D3534F"/>
    <w:rsid w:val="00D35679"/>
    <w:rsid w:val="00D406FE"/>
    <w:rsid w:val="00D40966"/>
    <w:rsid w:val="00D4138F"/>
    <w:rsid w:val="00D5145A"/>
    <w:rsid w:val="00D51584"/>
    <w:rsid w:val="00D53133"/>
    <w:rsid w:val="00D553CA"/>
    <w:rsid w:val="00D55946"/>
    <w:rsid w:val="00D60CF0"/>
    <w:rsid w:val="00D624BA"/>
    <w:rsid w:val="00D64156"/>
    <w:rsid w:val="00D645E0"/>
    <w:rsid w:val="00D663CF"/>
    <w:rsid w:val="00D76A8A"/>
    <w:rsid w:val="00D77AFF"/>
    <w:rsid w:val="00D80287"/>
    <w:rsid w:val="00D8068D"/>
    <w:rsid w:val="00D8168F"/>
    <w:rsid w:val="00D86BD2"/>
    <w:rsid w:val="00D93146"/>
    <w:rsid w:val="00D97C74"/>
    <w:rsid w:val="00DB1D42"/>
    <w:rsid w:val="00DB2A93"/>
    <w:rsid w:val="00DB3C60"/>
    <w:rsid w:val="00DB7E71"/>
    <w:rsid w:val="00DC2C19"/>
    <w:rsid w:val="00DC3F7F"/>
    <w:rsid w:val="00DC4A57"/>
    <w:rsid w:val="00DC621E"/>
    <w:rsid w:val="00DD6127"/>
    <w:rsid w:val="00DD7CF1"/>
    <w:rsid w:val="00DE083D"/>
    <w:rsid w:val="00DF3681"/>
    <w:rsid w:val="00E0491B"/>
    <w:rsid w:val="00E05DD9"/>
    <w:rsid w:val="00E06958"/>
    <w:rsid w:val="00E10716"/>
    <w:rsid w:val="00E10859"/>
    <w:rsid w:val="00E12F6C"/>
    <w:rsid w:val="00E215F4"/>
    <w:rsid w:val="00E227B7"/>
    <w:rsid w:val="00E24894"/>
    <w:rsid w:val="00E249AA"/>
    <w:rsid w:val="00E25639"/>
    <w:rsid w:val="00E36F14"/>
    <w:rsid w:val="00E4552B"/>
    <w:rsid w:val="00E50CE7"/>
    <w:rsid w:val="00E60187"/>
    <w:rsid w:val="00E70DD3"/>
    <w:rsid w:val="00E730A9"/>
    <w:rsid w:val="00E746B8"/>
    <w:rsid w:val="00E7483F"/>
    <w:rsid w:val="00E8261C"/>
    <w:rsid w:val="00E8385C"/>
    <w:rsid w:val="00E8754A"/>
    <w:rsid w:val="00E87911"/>
    <w:rsid w:val="00E90828"/>
    <w:rsid w:val="00E96F48"/>
    <w:rsid w:val="00E97ECF"/>
    <w:rsid w:val="00EA09D2"/>
    <w:rsid w:val="00EA1E57"/>
    <w:rsid w:val="00EA4E3F"/>
    <w:rsid w:val="00EA500B"/>
    <w:rsid w:val="00EA7D44"/>
    <w:rsid w:val="00EB1056"/>
    <w:rsid w:val="00EB1DBC"/>
    <w:rsid w:val="00EB1E65"/>
    <w:rsid w:val="00EB32B2"/>
    <w:rsid w:val="00EB3DB2"/>
    <w:rsid w:val="00EB5A82"/>
    <w:rsid w:val="00EB70DA"/>
    <w:rsid w:val="00EC0877"/>
    <w:rsid w:val="00ED2931"/>
    <w:rsid w:val="00ED4985"/>
    <w:rsid w:val="00EE14F3"/>
    <w:rsid w:val="00EF3558"/>
    <w:rsid w:val="00EF5184"/>
    <w:rsid w:val="00EF7B36"/>
    <w:rsid w:val="00F030F2"/>
    <w:rsid w:val="00F03DFE"/>
    <w:rsid w:val="00F1020E"/>
    <w:rsid w:val="00F10AA3"/>
    <w:rsid w:val="00F10FD9"/>
    <w:rsid w:val="00F145A8"/>
    <w:rsid w:val="00F16B22"/>
    <w:rsid w:val="00F20C13"/>
    <w:rsid w:val="00F22980"/>
    <w:rsid w:val="00F247DF"/>
    <w:rsid w:val="00F2536F"/>
    <w:rsid w:val="00F261EB"/>
    <w:rsid w:val="00F27319"/>
    <w:rsid w:val="00F31430"/>
    <w:rsid w:val="00F344FB"/>
    <w:rsid w:val="00F356FB"/>
    <w:rsid w:val="00F37451"/>
    <w:rsid w:val="00F4106B"/>
    <w:rsid w:val="00F466E4"/>
    <w:rsid w:val="00F46C69"/>
    <w:rsid w:val="00F552F0"/>
    <w:rsid w:val="00F55F38"/>
    <w:rsid w:val="00F6000A"/>
    <w:rsid w:val="00F60A33"/>
    <w:rsid w:val="00F6591B"/>
    <w:rsid w:val="00F7554A"/>
    <w:rsid w:val="00F7561F"/>
    <w:rsid w:val="00F80472"/>
    <w:rsid w:val="00F8187D"/>
    <w:rsid w:val="00F9000F"/>
    <w:rsid w:val="00F930E6"/>
    <w:rsid w:val="00F95F3B"/>
    <w:rsid w:val="00FA0404"/>
    <w:rsid w:val="00FA2622"/>
    <w:rsid w:val="00FA6E6E"/>
    <w:rsid w:val="00FB0FF3"/>
    <w:rsid w:val="00FB53F3"/>
    <w:rsid w:val="00FC4735"/>
    <w:rsid w:val="00FC7BF0"/>
    <w:rsid w:val="00FD0769"/>
    <w:rsid w:val="00FD117B"/>
    <w:rsid w:val="00FD45B9"/>
    <w:rsid w:val="00FE5D35"/>
    <w:rsid w:val="00FE6496"/>
    <w:rsid w:val="00FF2E46"/>
    <w:rsid w:val="00FF600B"/>
    <w:rsid w:val="00FF6325"/>
    <w:rsid w:val="00FF7248"/>
    <w:rsid w:val="02386926"/>
    <w:rsid w:val="02B27F2F"/>
    <w:rsid w:val="035E7074"/>
    <w:rsid w:val="037B2169"/>
    <w:rsid w:val="03A55F6B"/>
    <w:rsid w:val="04092E1A"/>
    <w:rsid w:val="047743A0"/>
    <w:rsid w:val="051B0846"/>
    <w:rsid w:val="05321B4B"/>
    <w:rsid w:val="05937A58"/>
    <w:rsid w:val="067F70BB"/>
    <w:rsid w:val="06D011B9"/>
    <w:rsid w:val="07392139"/>
    <w:rsid w:val="07A30046"/>
    <w:rsid w:val="086A2811"/>
    <w:rsid w:val="08A33172"/>
    <w:rsid w:val="08D34B6E"/>
    <w:rsid w:val="098902C6"/>
    <w:rsid w:val="09BF2B30"/>
    <w:rsid w:val="09C15EEA"/>
    <w:rsid w:val="0ADC0919"/>
    <w:rsid w:val="0B29555A"/>
    <w:rsid w:val="0B92314F"/>
    <w:rsid w:val="0BB526B4"/>
    <w:rsid w:val="0BCA6BDA"/>
    <w:rsid w:val="0BE95B2A"/>
    <w:rsid w:val="0CCF12BA"/>
    <w:rsid w:val="0D3D11C1"/>
    <w:rsid w:val="0E0B5308"/>
    <w:rsid w:val="0E9973DD"/>
    <w:rsid w:val="0EAF1A24"/>
    <w:rsid w:val="0F2526B2"/>
    <w:rsid w:val="0FE56D48"/>
    <w:rsid w:val="10383406"/>
    <w:rsid w:val="104755A3"/>
    <w:rsid w:val="12C87D84"/>
    <w:rsid w:val="12EB642B"/>
    <w:rsid w:val="131651AF"/>
    <w:rsid w:val="13306354"/>
    <w:rsid w:val="13BB145F"/>
    <w:rsid w:val="1511114E"/>
    <w:rsid w:val="1517329E"/>
    <w:rsid w:val="16186D08"/>
    <w:rsid w:val="16277DD1"/>
    <w:rsid w:val="164A7C77"/>
    <w:rsid w:val="17292F61"/>
    <w:rsid w:val="178413AC"/>
    <w:rsid w:val="18B302E6"/>
    <w:rsid w:val="1AE93470"/>
    <w:rsid w:val="1B73171E"/>
    <w:rsid w:val="1B8B0868"/>
    <w:rsid w:val="1BED2A00"/>
    <w:rsid w:val="1C597D41"/>
    <w:rsid w:val="1C704997"/>
    <w:rsid w:val="1CDE0620"/>
    <w:rsid w:val="1E49414C"/>
    <w:rsid w:val="1EFB6C8A"/>
    <w:rsid w:val="1F3F781D"/>
    <w:rsid w:val="1FCE075E"/>
    <w:rsid w:val="201F4CA7"/>
    <w:rsid w:val="20E64892"/>
    <w:rsid w:val="21730749"/>
    <w:rsid w:val="21894E36"/>
    <w:rsid w:val="21C22277"/>
    <w:rsid w:val="22511B61"/>
    <w:rsid w:val="226F5005"/>
    <w:rsid w:val="22D642A8"/>
    <w:rsid w:val="23042055"/>
    <w:rsid w:val="24691B3A"/>
    <w:rsid w:val="25640C29"/>
    <w:rsid w:val="26A77C4E"/>
    <w:rsid w:val="26C339B9"/>
    <w:rsid w:val="27213EDA"/>
    <w:rsid w:val="280E1367"/>
    <w:rsid w:val="285F00C7"/>
    <w:rsid w:val="28E641B1"/>
    <w:rsid w:val="28E654F5"/>
    <w:rsid w:val="29412E78"/>
    <w:rsid w:val="297D4466"/>
    <w:rsid w:val="2986284C"/>
    <w:rsid w:val="29A9525B"/>
    <w:rsid w:val="29B535EE"/>
    <w:rsid w:val="29BC41BF"/>
    <w:rsid w:val="29E01176"/>
    <w:rsid w:val="2A3E409E"/>
    <w:rsid w:val="2AA903DC"/>
    <w:rsid w:val="2AB270CD"/>
    <w:rsid w:val="2ACB1808"/>
    <w:rsid w:val="2B8A3268"/>
    <w:rsid w:val="2C253615"/>
    <w:rsid w:val="2C6B152D"/>
    <w:rsid w:val="2CB646FF"/>
    <w:rsid w:val="2CDC3479"/>
    <w:rsid w:val="2D2367EA"/>
    <w:rsid w:val="2D5439E7"/>
    <w:rsid w:val="2D6356A1"/>
    <w:rsid w:val="2DE751F7"/>
    <w:rsid w:val="2E08448E"/>
    <w:rsid w:val="2E0B370F"/>
    <w:rsid w:val="2E1D1590"/>
    <w:rsid w:val="2E507AE9"/>
    <w:rsid w:val="2EAA793A"/>
    <w:rsid w:val="2FA66DE9"/>
    <w:rsid w:val="2FE56C82"/>
    <w:rsid w:val="2FEE24A6"/>
    <w:rsid w:val="2FF9666B"/>
    <w:rsid w:val="30310D37"/>
    <w:rsid w:val="30DE751C"/>
    <w:rsid w:val="30F921C1"/>
    <w:rsid w:val="31162E04"/>
    <w:rsid w:val="31375D9B"/>
    <w:rsid w:val="318C6CC9"/>
    <w:rsid w:val="32EB45E3"/>
    <w:rsid w:val="331E461B"/>
    <w:rsid w:val="34121801"/>
    <w:rsid w:val="3474330E"/>
    <w:rsid w:val="34960E55"/>
    <w:rsid w:val="34B21167"/>
    <w:rsid w:val="34C850E1"/>
    <w:rsid w:val="34CE25D3"/>
    <w:rsid w:val="34D37609"/>
    <w:rsid w:val="34EA0ACF"/>
    <w:rsid w:val="350376A1"/>
    <w:rsid w:val="353B0C68"/>
    <w:rsid w:val="35D93B6C"/>
    <w:rsid w:val="360C67BF"/>
    <w:rsid w:val="361B476A"/>
    <w:rsid w:val="36B5288E"/>
    <w:rsid w:val="37453A44"/>
    <w:rsid w:val="3AF835F7"/>
    <w:rsid w:val="3B9555A9"/>
    <w:rsid w:val="3C471B94"/>
    <w:rsid w:val="3C617460"/>
    <w:rsid w:val="3CA164E5"/>
    <w:rsid w:val="3CAC151C"/>
    <w:rsid w:val="3D281869"/>
    <w:rsid w:val="3D663CD8"/>
    <w:rsid w:val="3D7842CF"/>
    <w:rsid w:val="3E3B736C"/>
    <w:rsid w:val="3EA15F75"/>
    <w:rsid w:val="3F812302"/>
    <w:rsid w:val="40D84EE9"/>
    <w:rsid w:val="41202F53"/>
    <w:rsid w:val="419B20FA"/>
    <w:rsid w:val="41CD237C"/>
    <w:rsid w:val="41CF0158"/>
    <w:rsid w:val="42A874A4"/>
    <w:rsid w:val="449830F6"/>
    <w:rsid w:val="44A65ECC"/>
    <w:rsid w:val="44FA7048"/>
    <w:rsid w:val="45296F3A"/>
    <w:rsid w:val="45FC77E2"/>
    <w:rsid w:val="46EB70D3"/>
    <w:rsid w:val="470B2854"/>
    <w:rsid w:val="4789034F"/>
    <w:rsid w:val="49E54AAC"/>
    <w:rsid w:val="4A2C0B23"/>
    <w:rsid w:val="4A3B6B09"/>
    <w:rsid w:val="4A5215D7"/>
    <w:rsid w:val="4A5D71CD"/>
    <w:rsid w:val="4B2F5A10"/>
    <w:rsid w:val="4B397D54"/>
    <w:rsid w:val="4B420C6A"/>
    <w:rsid w:val="4B952B82"/>
    <w:rsid w:val="4C16247E"/>
    <w:rsid w:val="4C5063FE"/>
    <w:rsid w:val="4CF63A7A"/>
    <w:rsid w:val="4D2A7B3F"/>
    <w:rsid w:val="4E2276BF"/>
    <w:rsid w:val="4E3C7D00"/>
    <w:rsid w:val="4F8C2F05"/>
    <w:rsid w:val="50FE02B3"/>
    <w:rsid w:val="51355382"/>
    <w:rsid w:val="514658AD"/>
    <w:rsid w:val="5168719D"/>
    <w:rsid w:val="51847F0F"/>
    <w:rsid w:val="51EE1EAE"/>
    <w:rsid w:val="523C54E4"/>
    <w:rsid w:val="52A25D2A"/>
    <w:rsid w:val="552803B9"/>
    <w:rsid w:val="55B96F10"/>
    <w:rsid w:val="55C025B9"/>
    <w:rsid w:val="564D7926"/>
    <w:rsid w:val="565B781E"/>
    <w:rsid w:val="58730EDF"/>
    <w:rsid w:val="59940142"/>
    <w:rsid w:val="5B21749F"/>
    <w:rsid w:val="5B525409"/>
    <w:rsid w:val="5BA27B5E"/>
    <w:rsid w:val="5D314D8D"/>
    <w:rsid w:val="5D604595"/>
    <w:rsid w:val="5D6B6F69"/>
    <w:rsid w:val="5DDD031B"/>
    <w:rsid w:val="5DFD0F59"/>
    <w:rsid w:val="5E147231"/>
    <w:rsid w:val="5E50344D"/>
    <w:rsid w:val="604343C9"/>
    <w:rsid w:val="604C6062"/>
    <w:rsid w:val="609A3BFB"/>
    <w:rsid w:val="613A4B6E"/>
    <w:rsid w:val="61483563"/>
    <w:rsid w:val="617E796A"/>
    <w:rsid w:val="632A1BF0"/>
    <w:rsid w:val="639F3DFF"/>
    <w:rsid w:val="64830433"/>
    <w:rsid w:val="64DC2DAF"/>
    <w:rsid w:val="65A0578C"/>
    <w:rsid w:val="65C1722A"/>
    <w:rsid w:val="66675B0C"/>
    <w:rsid w:val="675B6D5A"/>
    <w:rsid w:val="67645035"/>
    <w:rsid w:val="676A09D6"/>
    <w:rsid w:val="67C66BC2"/>
    <w:rsid w:val="67DF0A5D"/>
    <w:rsid w:val="692F6F00"/>
    <w:rsid w:val="6956758D"/>
    <w:rsid w:val="69887333"/>
    <w:rsid w:val="69BF63A8"/>
    <w:rsid w:val="69C32E7C"/>
    <w:rsid w:val="6B297725"/>
    <w:rsid w:val="6B41743C"/>
    <w:rsid w:val="6BFC74FF"/>
    <w:rsid w:val="6C7F1045"/>
    <w:rsid w:val="6DC73405"/>
    <w:rsid w:val="6DC767B1"/>
    <w:rsid w:val="6ED74960"/>
    <w:rsid w:val="6F336CC2"/>
    <w:rsid w:val="6F562AD3"/>
    <w:rsid w:val="6FFB75C3"/>
    <w:rsid w:val="70310E6D"/>
    <w:rsid w:val="710555DD"/>
    <w:rsid w:val="71C3272C"/>
    <w:rsid w:val="72031FCA"/>
    <w:rsid w:val="72342A1F"/>
    <w:rsid w:val="72956E31"/>
    <w:rsid w:val="72F8792D"/>
    <w:rsid w:val="733D2355"/>
    <w:rsid w:val="73484892"/>
    <w:rsid w:val="74720CDA"/>
    <w:rsid w:val="74B14359"/>
    <w:rsid w:val="753C5528"/>
    <w:rsid w:val="766E0709"/>
    <w:rsid w:val="76FE63AE"/>
    <w:rsid w:val="78640DAD"/>
    <w:rsid w:val="79014545"/>
    <w:rsid w:val="791E3C0C"/>
    <w:rsid w:val="79640492"/>
    <w:rsid w:val="79F10FA8"/>
    <w:rsid w:val="7AB8241B"/>
    <w:rsid w:val="7B867DE1"/>
    <w:rsid w:val="7BD824D3"/>
    <w:rsid w:val="7BE002D7"/>
    <w:rsid w:val="7CA30D65"/>
    <w:rsid w:val="7CB44CF4"/>
    <w:rsid w:val="7D022E85"/>
    <w:rsid w:val="7D4F0BAF"/>
    <w:rsid w:val="7D566CB5"/>
    <w:rsid w:val="7DB56583"/>
    <w:rsid w:val="7DEB3EEE"/>
    <w:rsid w:val="7EB4235F"/>
    <w:rsid w:val="7EE11EE3"/>
    <w:rsid w:val="7F9B35C2"/>
    <w:rsid w:val="7FEE29F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qFormat="1"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qFormat="1" w:unhideWhenUsed="0" w:uiPriority="61" w:semiHidden="0" w:name="Light List Accent 4"/>
    <w:lsdException w:qFormat="1"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qFormat="1"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qFormat="1"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qFormat="1"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6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79"/>
    <w:unhideWhenUsed/>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78"/>
    <w:unhideWhenUsed/>
    <w:qFormat/>
    <w:uiPriority w:val="9"/>
    <w:pPr>
      <w:keepNext/>
      <w:keepLines/>
      <w:spacing w:before="260" w:after="260" w:line="416" w:lineRule="auto"/>
      <w:outlineLvl w:val="2"/>
    </w:pPr>
    <w:rPr>
      <w:b/>
      <w:bCs/>
      <w:sz w:val="32"/>
      <w:szCs w:val="32"/>
    </w:rPr>
  </w:style>
  <w:style w:type="character" w:default="1" w:styleId="34">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5">
    <w:name w:val="caption"/>
    <w:basedOn w:val="1"/>
    <w:next w:val="1"/>
    <w:qFormat/>
    <w:uiPriority w:val="35"/>
    <w:rPr>
      <w:rFonts w:ascii="Cambria" w:hAnsi="Cambria" w:eastAsia="黑体"/>
      <w:sz w:val="20"/>
      <w:szCs w:val="20"/>
    </w:rPr>
  </w:style>
  <w:style w:type="paragraph" w:styleId="6">
    <w:name w:val="annotation text"/>
    <w:basedOn w:val="1"/>
    <w:link w:val="74"/>
    <w:qFormat/>
    <w:uiPriority w:val="0"/>
    <w:pPr>
      <w:jc w:val="left"/>
    </w:pPr>
    <w:rPr>
      <w:rFonts w:ascii="Calibri" w:hAnsi="Calibri" w:eastAsia="宋体" w:cs="Times New Roman"/>
      <w:szCs w:val="24"/>
    </w:rPr>
  </w:style>
  <w:style w:type="paragraph" w:styleId="7">
    <w:name w:val="toc 3"/>
    <w:basedOn w:val="1"/>
    <w:next w:val="1"/>
    <w:unhideWhenUsed/>
    <w:qFormat/>
    <w:uiPriority w:val="39"/>
    <w:pPr>
      <w:ind w:left="840" w:leftChars="400"/>
    </w:pPr>
  </w:style>
  <w:style w:type="paragraph" w:styleId="8">
    <w:name w:val="Balloon Text"/>
    <w:basedOn w:val="1"/>
    <w:link w:val="70"/>
    <w:unhideWhenUsed/>
    <w:qFormat/>
    <w:uiPriority w:val="99"/>
    <w:rPr>
      <w:sz w:val="18"/>
      <w:szCs w:val="18"/>
    </w:rPr>
  </w:style>
  <w:style w:type="paragraph" w:styleId="9">
    <w:name w:val="footer"/>
    <w:basedOn w:val="1"/>
    <w:link w:val="66"/>
    <w:unhideWhenUsed/>
    <w:qFormat/>
    <w:uiPriority w:val="99"/>
    <w:pPr>
      <w:tabs>
        <w:tab w:val="center" w:pos="4153"/>
        <w:tab w:val="right" w:pos="8306"/>
      </w:tabs>
      <w:snapToGrid w:val="0"/>
      <w:jc w:val="left"/>
    </w:pPr>
    <w:rPr>
      <w:rFonts w:ascii="Calibri" w:hAnsi="Calibri" w:eastAsia="宋体" w:cs="Times New Roman"/>
      <w:sz w:val="18"/>
      <w:szCs w:val="18"/>
    </w:rPr>
  </w:style>
  <w:style w:type="paragraph" w:styleId="10">
    <w:name w:val="header"/>
    <w:basedOn w:val="1"/>
    <w:link w:val="65"/>
    <w:unhideWhenUsed/>
    <w:qFormat/>
    <w:uiPriority w:val="99"/>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11">
    <w:name w:val="toc 1"/>
    <w:basedOn w:val="1"/>
    <w:next w:val="1"/>
    <w:unhideWhenUsed/>
    <w:qFormat/>
    <w:uiPriority w:val="39"/>
  </w:style>
  <w:style w:type="paragraph" w:styleId="12">
    <w:name w:val="toc 4"/>
    <w:basedOn w:val="1"/>
    <w:next w:val="1"/>
    <w:unhideWhenUsed/>
    <w:qFormat/>
    <w:uiPriority w:val="39"/>
    <w:pPr>
      <w:ind w:left="1260" w:leftChars="600"/>
    </w:pPr>
  </w:style>
  <w:style w:type="paragraph" w:styleId="13">
    <w:name w:val="footnote text"/>
    <w:basedOn w:val="1"/>
    <w:link w:val="71"/>
    <w:unhideWhenUsed/>
    <w:qFormat/>
    <w:uiPriority w:val="0"/>
    <w:pPr>
      <w:widowControl/>
      <w:jc w:val="left"/>
    </w:pPr>
    <w:rPr>
      <w:kern w:val="0"/>
      <w:sz w:val="20"/>
      <w:szCs w:val="20"/>
    </w:rPr>
  </w:style>
  <w:style w:type="paragraph" w:styleId="14">
    <w:name w:val="toc 2"/>
    <w:basedOn w:val="1"/>
    <w:next w:val="1"/>
    <w:unhideWhenUsed/>
    <w:qFormat/>
    <w:uiPriority w:val="39"/>
    <w:pPr>
      <w:ind w:left="420" w:leftChars="200"/>
    </w:pPr>
  </w:style>
  <w:style w:type="paragraph" w:styleId="15">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17">
    <w:name w:val="Table Grid"/>
    <w:basedOn w:val="16"/>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18">
    <w:name w:val="Light List Accent 2"/>
    <w:basedOn w:val="16"/>
    <w:qFormat/>
    <w:uiPriority w:val="61"/>
    <w:tblPr>
      <w:tblBorders>
        <w:top w:val="single" w:color="C0504D" w:sz="8" w:space="0"/>
        <w:left w:val="single" w:color="C0504D" w:sz="8" w:space="0"/>
        <w:bottom w:val="single" w:color="C0504D" w:sz="8" w:space="0"/>
        <w:right w:val="single" w:color="C0504D"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insideH w:val="nil"/>
          <w:insideV w:val="nil"/>
          <w:tl2br w:val="nil"/>
          <w:tr2bl w:val="nil"/>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insideH w:val="nil"/>
          <w:insideV w:val="nil"/>
          <w:tl2br w:val="nil"/>
          <w:tr2bl w:val="nil"/>
        </w:tcBorders>
      </w:tcPr>
    </w:tblStylePr>
    <w:tblStylePr w:type="band1Horz">
      <w:tblPr/>
      <w:tcPr>
        <w:tcBorders>
          <w:top w:val="single" w:color="C0504D" w:sz="8" w:space="0"/>
          <w:left w:val="single" w:color="C0504D" w:sz="8" w:space="0"/>
          <w:bottom w:val="single" w:color="C0504D" w:sz="8" w:space="0"/>
          <w:right w:val="single" w:color="C0504D" w:sz="8" w:space="0"/>
          <w:insideH w:val="nil"/>
          <w:insideV w:val="nil"/>
          <w:tl2br w:val="nil"/>
          <w:tr2bl w:val="nil"/>
        </w:tcBorders>
      </w:tcPr>
    </w:tblStylePr>
  </w:style>
  <w:style w:type="table" w:styleId="19">
    <w:name w:val="Light List Accent 4"/>
    <w:basedOn w:val="16"/>
    <w:qFormat/>
    <w:uiPriority w:val="61"/>
    <w:tblPr>
      <w:tblBorders>
        <w:top w:val="single" w:color="8064A2" w:sz="8" w:space="0"/>
        <w:left w:val="single" w:color="8064A2" w:sz="8" w:space="0"/>
        <w:bottom w:val="single" w:color="8064A2" w:sz="8" w:space="0"/>
        <w:right w:val="single" w:color="8064A2"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insideH w:val="nil"/>
          <w:insideV w:val="nil"/>
          <w:tl2br w:val="nil"/>
          <w:tr2bl w:val="nil"/>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insideH w:val="nil"/>
          <w:insideV w:val="nil"/>
          <w:tl2br w:val="nil"/>
          <w:tr2bl w:val="nil"/>
        </w:tcBorders>
      </w:tcPr>
    </w:tblStylePr>
    <w:tblStylePr w:type="band1Horz">
      <w:tblPr/>
      <w:tcPr>
        <w:tcBorders>
          <w:top w:val="single" w:color="8064A2" w:sz="8" w:space="0"/>
          <w:left w:val="single" w:color="8064A2" w:sz="8" w:space="0"/>
          <w:bottom w:val="single" w:color="8064A2" w:sz="8" w:space="0"/>
          <w:right w:val="single" w:color="8064A2" w:sz="8" w:space="0"/>
          <w:insideH w:val="nil"/>
          <w:insideV w:val="nil"/>
          <w:tl2br w:val="nil"/>
          <w:tr2bl w:val="nil"/>
        </w:tcBorders>
      </w:tcPr>
    </w:tblStylePr>
  </w:style>
  <w:style w:type="table" w:styleId="20">
    <w:name w:val="Light List Accent 6"/>
    <w:basedOn w:val="16"/>
    <w:qFormat/>
    <w:uiPriority w:val="61"/>
    <w:tblPr>
      <w:tblBorders>
        <w:top w:val="single" w:color="F79646" w:sz="8" w:space="0"/>
        <w:left w:val="single" w:color="F79646" w:sz="8" w:space="0"/>
        <w:bottom w:val="single" w:color="F79646" w:sz="8" w:space="0"/>
        <w:right w:val="single" w:color="F79646"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insideH w:val="nil"/>
          <w:insideV w:val="nil"/>
          <w:tl2br w:val="nil"/>
          <w:tr2bl w:val="nil"/>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insideH w:val="nil"/>
          <w:insideV w:val="nil"/>
          <w:tl2br w:val="nil"/>
          <w:tr2bl w:val="nil"/>
        </w:tcBorders>
      </w:tcPr>
    </w:tblStylePr>
    <w:tblStylePr w:type="band1Horz">
      <w:tblPr/>
      <w:tcPr>
        <w:tcBorders>
          <w:top w:val="single" w:color="F79646" w:sz="8" w:space="0"/>
          <w:left w:val="single" w:color="F79646" w:sz="8" w:space="0"/>
          <w:bottom w:val="single" w:color="F79646" w:sz="8" w:space="0"/>
          <w:right w:val="single" w:color="F79646" w:sz="8" w:space="0"/>
          <w:insideH w:val="nil"/>
          <w:insideV w:val="nil"/>
          <w:tl2br w:val="nil"/>
          <w:tr2bl w:val="nil"/>
        </w:tcBorders>
      </w:tcPr>
    </w:tblStylePr>
  </w:style>
  <w:style w:type="table" w:styleId="21">
    <w:name w:val="Light Grid Accent 2"/>
    <w:basedOn w:val="16"/>
    <w:qFormat/>
    <w:uiPriority w:val="62"/>
    <w:pPr>
      <w:jc w:val="both"/>
    </w:p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
    <w:tblStylePr w:type="firstRow">
      <w:pPr>
        <w:spacing w:before="0" w:after="0" w:line="240" w:lineRule="auto"/>
      </w:pPr>
      <w:rPr>
        <w:rFonts w:ascii="Cambria" w:hAnsi="Cambria" w:eastAsia="宋体" w:cs="Times New Roman"/>
        <w:b/>
        <w:bCs/>
      </w:rPr>
      <w:tblPr/>
      <w:tcPr>
        <w:tcBorders>
          <w:top w:val="single" w:color="C0504D" w:sz="8" w:space="0"/>
          <w:left w:val="single" w:color="C0504D" w:sz="8" w:space="0"/>
          <w:bottom w:val="single" w:color="C0504D" w:sz="18" w:space="0"/>
          <w:right w:val="single" w:color="C0504D" w:sz="8" w:space="0"/>
          <w:insideH w:val="nil"/>
          <w:insideV w:val="single" w:sz="8" w:space="0"/>
          <w:tl2br w:val="nil"/>
          <w:tr2bl w:val="nil"/>
        </w:tcBorders>
      </w:tcPr>
    </w:tblStylePr>
    <w:tblStylePr w:type="lastRow">
      <w:pPr>
        <w:spacing w:before="0" w:after="0" w:line="240" w:lineRule="auto"/>
      </w:pPr>
      <w:rPr>
        <w:rFonts w:ascii="Cambria" w:hAnsi="Cambria" w:eastAsia="宋体" w:cs="Times New Roman"/>
        <w:b/>
        <w:bCs/>
      </w:rPr>
      <w:tblPr/>
      <w:tcPr>
        <w:tcBorders>
          <w:top w:val="double" w:color="C0504D" w:sz="6" w:space="0"/>
          <w:left w:val="single" w:color="C0504D" w:sz="8" w:space="0"/>
          <w:bottom w:val="single" w:color="C0504D" w:sz="8" w:space="0"/>
          <w:right w:val="single" w:color="C0504D" w:sz="8" w:space="0"/>
          <w:insideH w:val="nil"/>
          <w:insideV w:val="single" w:sz="8" w:space="0"/>
          <w:tl2br w:val="nil"/>
          <w:tr2bl w:val="nil"/>
        </w:tcBorders>
      </w:tcPr>
    </w:tblStylePr>
    <w:tblStylePr w:type="firstCol">
      <w:rPr>
        <w:rFonts w:ascii="Cambria" w:hAnsi="Cambria" w:eastAsia="宋体" w:cs="Times New Roman"/>
        <w:b/>
        <w:bCs/>
      </w:rPr>
    </w:tblStylePr>
    <w:tblStylePr w:type="lastCol">
      <w:rPr>
        <w:rFonts w:ascii="Cambria" w:hAnsi="Cambria" w:eastAsia="宋体" w:cs="Times New Roman"/>
        <w:b/>
        <w:bCs/>
      </w:rPr>
      <w:tblPr/>
      <w:tcPr>
        <w:tcBorders>
          <w:top w:val="single" w:color="C0504D" w:sz="8" w:space="0"/>
          <w:left w:val="single" w:color="C0504D" w:sz="8" w:space="0"/>
          <w:bottom w:val="single" w:color="C0504D" w:sz="8" w:space="0"/>
          <w:right w:val="single" w:color="C0504D" w:sz="8" w:space="0"/>
          <w:insideH w:val="nil"/>
          <w:insideV w:val="nil"/>
          <w:tl2br w:val="nil"/>
          <w:tr2bl w:val="nil"/>
        </w:tcBorders>
      </w:tcPr>
    </w:tblStylePr>
    <w:tblStylePr w:type="band1Vert">
      <w:tblPr/>
      <w:tcPr>
        <w:tcBorders>
          <w:top w:val="single" w:color="C0504D" w:sz="8" w:space="0"/>
          <w:left w:val="single" w:color="C0504D" w:sz="8" w:space="0"/>
          <w:bottom w:val="single" w:color="C0504D" w:sz="8" w:space="0"/>
          <w:right w:val="single" w:color="C0504D" w:sz="8" w:space="0"/>
          <w:insideH w:val="nil"/>
          <w:insideV w:val="nil"/>
          <w:tl2br w:val="nil"/>
          <w:tr2bl w:val="nil"/>
        </w:tcBorders>
        <w:shd w:val="clear" w:color="auto" w:fill="EFD3D3"/>
      </w:tcPr>
    </w:tblStylePr>
    <w:tblStylePr w:type="band1Horz">
      <w:tblPr/>
      <w:tcPr>
        <w:tcBorders>
          <w:top w:val="single" w:color="C0504D" w:sz="8" w:space="0"/>
          <w:left w:val="single" w:color="C0504D" w:sz="8" w:space="0"/>
          <w:bottom w:val="single" w:color="C0504D" w:sz="8" w:space="0"/>
          <w:right w:val="single" w:color="C0504D" w:sz="8" w:space="0"/>
          <w:insideH w:val="nil"/>
          <w:insideV w:val="single" w:sz="8" w:space="0"/>
          <w:tl2br w:val="nil"/>
          <w:tr2bl w:val="nil"/>
        </w:tcBorders>
        <w:shd w:val="clear" w:color="auto" w:fill="EFD3D3"/>
      </w:tcPr>
    </w:tblStylePr>
    <w:tblStylePr w:type="band2Horz">
      <w:tblPr/>
      <w:tcPr>
        <w:tcBorders>
          <w:top w:val="single" w:color="C0504D" w:sz="8" w:space="0"/>
          <w:left w:val="single" w:color="C0504D" w:sz="8" w:space="0"/>
          <w:bottom w:val="single" w:color="C0504D" w:sz="8" w:space="0"/>
          <w:right w:val="single" w:color="C0504D" w:sz="8" w:space="0"/>
          <w:insideH w:val="nil"/>
          <w:insideV w:val="single" w:sz="8" w:space="0"/>
          <w:tl2br w:val="nil"/>
          <w:tr2bl w:val="nil"/>
        </w:tcBorders>
      </w:tcPr>
    </w:tblStylePr>
  </w:style>
  <w:style w:type="table" w:styleId="22">
    <w:name w:val="Light Grid Accent 3"/>
    <w:basedOn w:val="16"/>
    <w:qFormat/>
    <w:uiPriority w:val="62"/>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
    <w:tblStylePr w:type="firstRow">
      <w:pPr>
        <w:spacing w:before="0" w:after="0" w:line="240" w:lineRule="auto"/>
      </w:pPr>
      <w:rPr>
        <w:rFonts w:ascii="Cambria" w:hAnsi="Cambria" w:eastAsia="宋体" w:cs="Times New Roman"/>
        <w:b/>
        <w:bCs/>
      </w:rPr>
      <w:tblPr/>
      <w:tcPr>
        <w:tcBorders>
          <w:top w:val="single" w:color="9BBB59" w:sz="8" w:space="0"/>
          <w:left w:val="single" w:color="9BBB59" w:sz="8" w:space="0"/>
          <w:bottom w:val="single" w:color="9BBB59" w:sz="18" w:space="0"/>
          <w:right w:val="single" w:color="9BBB59" w:sz="8" w:space="0"/>
          <w:insideH w:val="nil"/>
          <w:insideV w:val="single" w:sz="8" w:space="0"/>
          <w:tl2br w:val="nil"/>
          <w:tr2bl w:val="nil"/>
        </w:tcBorders>
      </w:tcPr>
    </w:tblStylePr>
    <w:tblStylePr w:type="lastRow">
      <w:pPr>
        <w:spacing w:before="0" w:after="0" w:line="240" w:lineRule="auto"/>
      </w:pPr>
      <w:rPr>
        <w:rFonts w:ascii="Cambria" w:hAnsi="Cambria" w:eastAsia="宋体"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l2br w:val="nil"/>
          <w:tr2bl w:val="nil"/>
        </w:tcBorders>
      </w:tcPr>
    </w:tblStylePr>
    <w:tblStylePr w:type="firstCol">
      <w:rPr>
        <w:rFonts w:ascii="Cambria" w:hAnsi="Cambria" w:eastAsia="宋体" w:cs="Times New Roman"/>
        <w:b/>
        <w:bCs/>
      </w:rPr>
    </w:tblStylePr>
    <w:tblStylePr w:type="lastCol">
      <w:rPr>
        <w:rFonts w:ascii="Cambria" w:hAnsi="Cambria" w:eastAsia="宋体" w:cs="Times New Roman"/>
        <w:b/>
        <w:bCs/>
      </w:rPr>
      <w:tbl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Vert">
      <w:tblPr/>
      <w:tcPr>
        <w:tcBorders>
          <w:top w:val="single" w:color="9BBB59" w:sz="8" w:space="0"/>
          <w:left w:val="single" w:color="9BBB59" w:sz="8" w:space="0"/>
          <w:bottom w:val="single" w:color="9BBB59" w:sz="8" w:space="0"/>
          <w:right w:val="single" w:color="9BBB59" w:sz="8" w:space="0"/>
          <w:insideH w:val="nil"/>
          <w:insideV w:val="nil"/>
          <w:tl2br w:val="nil"/>
          <w:tr2bl w:val="nil"/>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tcPr>
    </w:tblStylePr>
  </w:style>
  <w:style w:type="table" w:styleId="23">
    <w:name w:val="Light Grid Accent 4"/>
    <w:basedOn w:val="16"/>
    <w:qFormat/>
    <w:uiPriority w:val="62"/>
    <w:pPr>
      <w:spacing w:beforeAutospacing="1" w:afterAutospacing="1"/>
    </w:pPr>
    <w:rPr>
      <w:rFonts w:ascii="Calibri" w:hAnsi="Calibri" w:eastAsia="宋体" w:cs="Times New Roman"/>
      <w:kern w:val="2"/>
      <w:sz w:val="21"/>
      <w:szCs w:val="22"/>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CellMar>
        <w:top w:w="0" w:type="dxa"/>
        <w:left w:w="108" w:type="dxa"/>
        <w:bottom w:w="0" w:type="dxa"/>
        <w:right w:w="108" w:type="dxa"/>
      </w:tblCellMar>
    </w:tblPr>
    <w:tblStylePr w:type="firstRow">
      <w:pPr>
        <w:spacing w:before="0" w:after="0" w:line="240" w:lineRule="auto"/>
      </w:pPr>
      <w:rPr>
        <w:rFonts w:ascii="Cambria" w:hAnsi="Cambria" w:eastAsia="宋体" w:cs="Times New Roman"/>
        <w:b/>
        <w:bCs/>
      </w:rPr>
      <w:tblPr/>
      <w:tcPr>
        <w:tcBorders>
          <w:top w:val="single" w:color="8064A2" w:sz="8" w:space="0"/>
          <w:left w:val="single" w:color="8064A2" w:sz="8" w:space="0"/>
          <w:bottom w:val="single" w:color="8064A2" w:sz="18" w:space="0"/>
          <w:right w:val="single" w:color="8064A2" w:sz="8" w:space="0"/>
          <w:insideH w:val="nil"/>
          <w:insideV w:val="single" w:sz="8" w:space="0"/>
          <w:tl2br w:val="nil"/>
          <w:tr2bl w:val="nil"/>
        </w:tcBorders>
      </w:tcPr>
    </w:tblStylePr>
    <w:tblStylePr w:type="lastRow">
      <w:pPr>
        <w:spacing w:before="0" w:after="0" w:line="240" w:lineRule="auto"/>
      </w:pPr>
      <w:rPr>
        <w:rFonts w:ascii="Cambria" w:hAnsi="Cambria" w:eastAsia="宋体" w:cs="Times New Roman"/>
        <w:b/>
        <w:bCs/>
      </w:rPr>
      <w:tblPr/>
      <w:tcPr>
        <w:tcBorders>
          <w:top w:val="double" w:color="8064A2" w:sz="6" w:space="0"/>
          <w:left w:val="single" w:color="8064A2" w:sz="8" w:space="0"/>
          <w:bottom w:val="single" w:color="8064A2" w:sz="8" w:space="0"/>
          <w:right w:val="single" w:color="8064A2" w:sz="8" w:space="0"/>
          <w:insideH w:val="nil"/>
          <w:insideV w:val="single" w:sz="8" w:space="0"/>
          <w:tl2br w:val="nil"/>
          <w:tr2bl w:val="nil"/>
        </w:tcBorders>
      </w:tcPr>
    </w:tblStylePr>
    <w:tblStylePr w:type="firstCol">
      <w:rPr>
        <w:rFonts w:ascii="Cambria" w:hAnsi="Cambria" w:eastAsia="宋体" w:cs="Times New Roman"/>
        <w:b/>
        <w:bCs/>
      </w:rPr>
    </w:tblStylePr>
    <w:tblStylePr w:type="lastCol">
      <w:rPr>
        <w:rFonts w:ascii="Cambria" w:hAnsi="Cambria" w:eastAsia="宋体" w:cs="Times New Roman"/>
        <w:b/>
        <w:bCs/>
      </w:rPr>
      <w:tblPr/>
      <w:tcPr>
        <w:tcBorders>
          <w:top w:val="single" w:color="8064A2" w:sz="8" w:space="0"/>
          <w:left w:val="single" w:color="8064A2" w:sz="8" w:space="0"/>
          <w:bottom w:val="single" w:color="8064A2" w:sz="8" w:space="0"/>
          <w:right w:val="single" w:color="8064A2" w:sz="8" w:space="0"/>
          <w:insideH w:val="nil"/>
          <w:insideV w:val="nil"/>
          <w:tl2br w:val="nil"/>
          <w:tr2bl w:val="nil"/>
        </w:tcBorders>
      </w:tcPr>
    </w:tblStylePr>
    <w:tblStylePr w:type="band1Vert">
      <w:tblPr/>
      <w:tcPr>
        <w:tcBorders>
          <w:top w:val="single" w:color="8064A2" w:sz="8" w:space="0"/>
          <w:left w:val="single" w:color="8064A2" w:sz="8" w:space="0"/>
          <w:bottom w:val="single" w:color="8064A2" w:sz="8" w:space="0"/>
          <w:right w:val="single" w:color="8064A2" w:sz="8" w:space="0"/>
          <w:insideH w:val="nil"/>
          <w:insideV w:val="nil"/>
          <w:tl2br w:val="nil"/>
          <w:tr2bl w:val="nil"/>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H w:val="nil"/>
          <w:insideV w:val="single" w:sz="8" w:space="0"/>
          <w:tl2br w:val="nil"/>
          <w:tr2bl w:val="nil"/>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H w:val="nil"/>
          <w:insideV w:val="single" w:sz="8" w:space="0"/>
          <w:tl2br w:val="nil"/>
          <w:tr2bl w:val="nil"/>
        </w:tcBorders>
      </w:tcPr>
    </w:tblStylePr>
  </w:style>
  <w:style w:type="table" w:styleId="24">
    <w:name w:val="Light Grid Accent 5"/>
    <w:basedOn w:val="16"/>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CellMar>
        <w:top w:w="0" w:type="dxa"/>
        <w:left w:w="108" w:type="dxa"/>
        <w:bottom w:w="0" w:type="dxa"/>
        <w:right w:w="108" w:type="dxa"/>
      </w:tblCellMar>
    </w:tblPr>
    <w:tblStylePr w:type="firstRow">
      <w:pPr>
        <w:spacing w:before="0" w:after="0" w:line="240" w:lineRule="auto"/>
      </w:pPr>
      <w:rPr>
        <w:rFonts w:ascii="Cambria" w:hAnsi="Cambria" w:eastAsia="宋体" w:cs="Times New Roman"/>
        <w:b/>
        <w:bCs/>
      </w:rPr>
      <w:tblPr/>
      <w:tcPr>
        <w:tcBorders>
          <w:top w:val="single" w:color="4BACC6" w:sz="8" w:space="0"/>
          <w:left w:val="single" w:color="4BACC6" w:sz="8" w:space="0"/>
          <w:bottom w:val="single" w:color="4BACC6" w:sz="18" w:space="0"/>
          <w:right w:val="single" w:color="4BACC6" w:sz="8" w:space="0"/>
          <w:insideH w:val="nil"/>
          <w:insideV w:val="single" w:sz="8" w:space="0"/>
          <w:tl2br w:val="nil"/>
          <w:tr2bl w:val="nil"/>
        </w:tcBorders>
      </w:tcPr>
    </w:tblStylePr>
    <w:tblStylePr w:type="lastRow">
      <w:pPr>
        <w:spacing w:before="0" w:after="0" w:line="240" w:lineRule="auto"/>
      </w:pPr>
      <w:rPr>
        <w:rFonts w:ascii="Cambria" w:hAnsi="Cambria" w:eastAsia="宋体"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l2br w:val="nil"/>
          <w:tr2bl w:val="nil"/>
        </w:tcBorders>
      </w:tcPr>
    </w:tblStylePr>
    <w:tblStylePr w:type="firstCol">
      <w:rPr>
        <w:rFonts w:ascii="Cambria" w:hAnsi="Cambria" w:eastAsia="宋体" w:cs="Times New Roman"/>
        <w:b/>
        <w:bCs/>
      </w:rPr>
    </w:tblStylePr>
    <w:tblStylePr w:type="lastCol">
      <w:rPr>
        <w:rFonts w:ascii="Cambria" w:hAnsi="Cambria" w:eastAsia="宋体" w:cs="Times New Roman"/>
        <w:b/>
        <w:bCs/>
      </w:rPr>
      <w:tbl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blPr/>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0"/>
      </w:tcPr>
    </w:tblStylePr>
    <w:tblStylePr w:type="band1Horz">
      <w:tblPr/>
      <w:tcPr>
        <w:tcBorders>
          <w:top w:val="single" w:color="4BACC6" w:sz="8" w:space="0"/>
          <w:left w:val="single" w:color="4BACC6" w:sz="8" w:space="0"/>
          <w:bottom w:val="single" w:color="4BACC6" w:sz="8" w:space="0"/>
          <w:right w:val="single" w:color="4BACC6" w:sz="8" w:space="0"/>
          <w:insideH w:val="nil"/>
          <w:insideV w:val="single" w:sz="8" w:space="0"/>
          <w:tl2br w:val="nil"/>
          <w:tr2bl w:val="nil"/>
        </w:tcBorders>
        <w:shd w:val="clear" w:color="auto" w:fill="D2EAF0"/>
      </w:tcPr>
    </w:tblStylePr>
    <w:tblStylePr w:type="band2Horz">
      <w:tblPr/>
      <w:tcPr>
        <w:tcBorders>
          <w:top w:val="single" w:color="4BACC6" w:sz="8" w:space="0"/>
          <w:left w:val="single" w:color="4BACC6" w:sz="8" w:space="0"/>
          <w:bottom w:val="single" w:color="4BACC6" w:sz="8" w:space="0"/>
          <w:right w:val="single" w:color="4BACC6" w:sz="8" w:space="0"/>
          <w:insideH w:val="nil"/>
          <w:insideV w:val="single" w:sz="8" w:space="0"/>
          <w:tl2br w:val="nil"/>
          <w:tr2bl w:val="nil"/>
        </w:tcBorders>
      </w:tcPr>
    </w:tblStylePr>
  </w:style>
  <w:style w:type="table" w:styleId="25">
    <w:name w:val="Medium Shading 1 Accent 2"/>
    <w:basedOn w:val="16"/>
    <w:qFormat/>
    <w:uiPriority w:val="63"/>
    <w:tblPr>
      <w:tblBorders>
        <w:top w:val="single" w:color="CF7B79" w:sz="8" w:space="0"/>
        <w:left w:val="single" w:color="CF7B79" w:sz="8" w:space="0"/>
        <w:bottom w:val="single" w:color="CF7B79" w:sz="8" w:space="0"/>
        <w:right w:val="single" w:color="CF7B79" w:sz="8" w:space="0"/>
        <w:insideH w:val="single" w:color="CF7B79" w:sz="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l2br w:val="nil"/>
          <w:tr2bl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l2br w:val="nil"/>
          <w:tr2bl w:val="nil"/>
        </w:tcBorders>
      </w:tcPr>
    </w:tblStylePr>
    <w:tblStylePr w:type="firstCol">
      <w:rPr>
        <w:b/>
        <w:bCs/>
      </w:rPr>
    </w:tblStylePr>
    <w:tblStylePr w:type="lastCol">
      <w:rPr>
        <w:b/>
        <w:bCs/>
      </w:rPr>
    </w:tblStylePr>
    <w:tblStylePr w:type="band1Vert">
      <w:tblPr/>
      <w:tcPr>
        <w:shd w:val="clear" w:color="auto" w:fill="EFD3D3"/>
      </w:tcPr>
    </w:tblStylePr>
    <w:tblStylePr w:type="band1Horz">
      <w:tblPr/>
      <w:tcPr>
        <w:tcBorders>
          <w:top w:val="nil"/>
          <w:left w:val="nil"/>
          <w:bottom w:val="nil"/>
          <w:right w:val="nil"/>
          <w:insideH w:val="nil"/>
          <w:insideV w:val="nil"/>
          <w:tl2br w:val="nil"/>
          <w:tr2bl w:val="nil"/>
        </w:tcBorders>
        <w:shd w:val="clear" w:color="auto" w:fill="EFD3D3"/>
      </w:tcPr>
    </w:tblStylePr>
    <w:tblStylePr w:type="band2Horz">
      <w:tblPr/>
      <w:tcPr>
        <w:tcBorders>
          <w:top w:val="nil"/>
          <w:left w:val="nil"/>
          <w:bottom w:val="nil"/>
          <w:right w:val="nil"/>
          <w:insideH w:val="nil"/>
          <w:insideV w:val="nil"/>
          <w:tl2br w:val="nil"/>
          <w:tr2bl w:val="nil"/>
        </w:tcBorders>
      </w:tcPr>
    </w:tblStylePr>
  </w:style>
  <w:style w:type="table" w:styleId="26">
    <w:name w:val="Medium Shading 2 Accent 2"/>
    <w:basedOn w:val="16"/>
    <w:qFormat/>
    <w:uiPriority w:val="64"/>
    <w:pPr>
      <w:jc w:val="both"/>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l2br w:val="nil"/>
          <w:tr2bl w:val="nil"/>
        </w:tcBorders>
        <w:shd w:val="clear" w:color="auto" w:fill="C0504D"/>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l2br w:val="nil"/>
          <w:tr2bl w:val="nil"/>
        </w:tcBorders>
        <w:shd w:val="clear" w:color="auto" w:fill="C0504D"/>
      </w:tcPr>
    </w:tblStylePr>
    <w:tblStylePr w:type="lastCol">
      <w:rPr>
        <w:b/>
        <w:bCs/>
        <w:color w:val="FFFFFF"/>
      </w:rPr>
      <w:tblPr/>
      <w:tcPr>
        <w:tcBorders>
          <w:top w:val="nil"/>
          <w:left w:val="nil"/>
          <w:bottom w:val="nil"/>
          <w:right w:val="nil"/>
          <w:insideH w:val="nil"/>
          <w:insideV w:val="nil"/>
          <w:tl2br w:val="nil"/>
          <w:tr2bl w:val="nil"/>
        </w:tcBorders>
        <w:shd w:val="clear" w:color="auto" w:fill="C0504D"/>
      </w:tcPr>
    </w:tblStylePr>
    <w:tblStylePr w:type="band1Vert">
      <w:tblPr/>
      <w:tcPr>
        <w:tcBorders>
          <w:top w:val="nil"/>
          <w:left w:val="nil"/>
          <w:bottom w:val="nil"/>
          <w:right w:val="nil"/>
          <w:insideH w:val="nil"/>
          <w:insideV w:val="nil"/>
          <w:tl2br w:val="nil"/>
          <w:tr2bl w:val="nil"/>
        </w:tcBorders>
        <w:shd w:val="clear" w:color="auto" w:fill="D7D7D7"/>
      </w:tcPr>
    </w:tblStylePr>
    <w:tblStylePr w:type="band1Horz">
      <w:tblPr/>
      <w:tcPr>
        <w:shd w:val="clear" w:color="auto" w:fill="D7D7D7"/>
      </w:tcPr>
    </w:tblStylePr>
    <w:tblStylePr w:type="neCell">
      <w:tblPr/>
      <w:tcPr>
        <w:tcBorders>
          <w:top w:val="single" w:color="auto" w:sz="18" w:space="0"/>
          <w:left w:val="nil"/>
          <w:bottom w:val="single" w:color="auto" w:sz="18" w:space="0"/>
          <w:right w:val="nil"/>
          <w:insideH w:val="nil"/>
          <w:insideV w:val="nil"/>
          <w:tl2br w:val="nil"/>
          <w:tr2bl w:val="nil"/>
        </w:tcBorders>
      </w:tcPr>
    </w:tblStylePr>
    <w:tblStylePr w:type="nwCell">
      <w:rPr>
        <w:color w:val="FFFFFF"/>
      </w:rPr>
      <w:tblPr/>
      <w:tcPr>
        <w:tcBorders>
          <w:top w:val="single" w:color="auto" w:sz="18" w:space="0"/>
          <w:left w:val="nil"/>
          <w:bottom w:val="single" w:color="auto" w:sz="18" w:space="0"/>
          <w:right w:val="nil"/>
          <w:insideH w:val="nil"/>
          <w:insideV w:val="nil"/>
          <w:tl2br w:val="nil"/>
          <w:tr2bl w:val="nil"/>
        </w:tcBorders>
      </w:tcPr>
    </w:tblStylePr>
  </w:style>
  <w:style w:type="table" w:styleId="27">
    <w:name w:val="Medium Grid 1 Accent 2"/>
    <w:basedOn w:val="16"/>
    <w:qFormat/>
    <w:uiPriority w:val="67"/>
    <w:pPr>
      <w:jc w:val="both"/>
    </w:p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CellMar>
        <w:top w:w="0" w:type="dxa"/>
        <w:left w:w="108" w:type="dxa"/>
        <w:bottom w:w="0" w:type="dxa"/>
        <w:right w:w="108" w:type="dxa"/>
      </w:tblCellMar>
    </w:tblPr>
    <w:tcPr>
      <w:shd w:val="clear" w:color="auto" w:fill="EFD3D3"/>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28">
    <w:name w:val="Medium Grid 1 Accent 4"/>
    <w:basedOn w:val="16"/>
    <w:qFormat/>
    <w:uiPriority w:val="67"/>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color="9F8AB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29">
    <w:name w:val="Medium Grid 2 Accent 2"/>
    <w:basedOn w:val="16"/>
    <w:qFormat/>
    <w:uiPriority w:val="68"/>
    <w:rPr>
      <w:rFonts w:ascii="Cambria" w:hAnsi="Cambria" w:eastAsia="宋体" w:cs="Times New Roman"/>
      <w:color w:val="00000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
    <w:tcPr>
      <w:shd w:val="clear" w:color="auto" w:fill="EFD3D3"/>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F2DBDB"/>
      </w:tcPr>
    </w:tblStylePr>
    <w:tblStylePr w:type="band1Vert">
      <w:tblPr/>
      <w:tcPr>
        <w:shd w:val="clear" w:color="auto" w:fill="DFA7A6"/>
      </w:tcPr>
    </w:tblStylePr>
    <w:tblStylePr w:type="band1Horz">
      <w:tblPr/>
      <w:tcPr>
        <w:tcBorders>
          <w:top w:val="nil"/>
          <w:left w:val="nil"/>
          <w:bottom w:val="nil"/>
          <w:right w:val="nil"/>
          <w:insideH w:val="single" w:sz="6" w:space="0"/>
          <w:insideV w:val="single" w:sz="6" w:space="0"/>
          <w:tl2br w:val="nil"/>
          <w:tr2bl w:val="nil"/>
        </w:tcBorders>
        <w:shd w:val="clear" w:color="auto" w:fill="DFA7A6"/>
      </w:tcPr>
    </w:tblStylePr>
    <w:tblStylePr w:type="nwCell">
      <w:tblPr/>
      <w:tcPr>
        <w:shd w:val="clear" w:color="auto" w:fill="FFFFFF"/>
      </w:tcPr>
    </w:tblStylePr>
  </w:style>
  <w:style w:type="table" w:styleId="30">
    <w:name w:val="Medium Grid 2 Accent 4"/>
    <w:basedOn w:val="16"/>
    <w:uiPriority w:val="68"/>
    <w:rPr>
      <w:rFonts w:ascii="Cambria" w:hAnsi="Cambria" w:eastAsia="宋体" w:cs="Times New Roman"/>
      <w:color w:val="000000"/>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5"/>
      </w:tcPr>
    </w:tblStylePr>
    <w:tblStylePr w:type="lastRow">
      <w:rPr>
        <w:b/>
        <w:bCs/>
        <w:color w:val="000000"/>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E5DFEC"/>
      </w:tcPr>
    </w:tblStylePr>
    <w:tblStylePr w:type="band1Vert">
      <w:tblPr/>
      <w:tcPr>
        <w:shd w:val="clear" w:color="auto" w:fill="BFB1D0"/>
      </w:tcPr>
    </w:tblStylePr>
    <w:tblStylePr w:type="band1Horz">
      <w:tblPr/>
      <w:tcPr>
        <w:tcBorders>
          <w:top w:val="nil"/>
          <w:left w:val="nil"/>
          <w:bottom w:val="nil"/>
          <w:right w:val="nil"/>
          <w:insideH w:val="single" w:sz="6" w:space="0"/>
          <w:insideV w:val="single" w:sz="6" w:space="0"/>
          <w:tl2br w:val="nil"/>
          <w:tr2bl w:val="nil"/>
        </w:tcBorders>
        <w:shd w:val="clear" w:color="auto" w:fill="BFB1D0"/>
      </w:tcPr>
    </w:tblStylePr>
    <w:tblStylePr w:type="nwCell">
      <w:tblPr/>
      <w:tcPr>
        <w:shd w:val="clear" w:color="auto" w:fill="FFFFFF"/>
      </w:tcPr>
    </w:tblStylePr>
  </w:style>
  <w:style w:type="table" w:styleId="31">
    <w:name w:val="Medium Grid 3 Accent 2"/>
    <w:basedOn w:val="16"/>
    <w:qFormat/>
    <w:uiPriority w:val="69"/>
    <w:pPr>
      <w:jc w:val="both"/>
    </w:p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EFD3D3"/>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C0504D"/>
      </w:tcPr>
    </w:tblStylePr>
    <w:tblStylePr w:type="firstCol">
      <w:rPr>
        <w:b/>
        <w:bCs/>
        <w:i w:val="0"/>
        <w:iCs w:val="0"/>
        <w:color w:val="FFFFFF"/>
      </w:rPr>
      <w:tblPr/>
      <w:tcPr>
        <w:tcBorders>
          <w:top w:val="nil"/>
          <w:left w:val="single" w:color="FFFFFF" w:sz="8" w:space="0"/>
          <w:bottom w:val="nil"/>
          <w:right w:val="single" w:color="FFFFFF" w:sz="24" w:space="0"/>
          <w:insideH w:val="nil"/>
          <w:insideV w:val="nil"/>
          <w:tl2br w:val="nil"/>
          <w:tr2bl w:val="nil"/>
        </w:tcBorders>
        <w:shd w:val="clear" w:color="auto" w:fill="C0504D"/>
      </w:tcPr>
    </w:tblStylePr>
    <w:tblStylePr w:type="lastCol">
      <w:rPr>
        <w:b/>
        <w:bCs/>
        <w:i w:val="0"/>
        <w:iCs w:val="0"/>
        <w:color w:val="FFFFFF"/>
      </w:rPr>
      <w:tblPr/>
      <w:tcPr>
        <w:tcBorders>
          <w:top w:val="nil"/>
          <w:left w:val="single" w:color="FFFFFF" w:sz="24" w:space="0"/>
          <w:bottom w:val="nil"/>
          <w:right w:val="nil"/>
          <w:insideH w:val="nil"/>
          <w:insideV w:val="nil"/>
          <w:tl2br w:val="nil"/>
          <w:tr2bl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DFA7A6"/>
      </w:tcPr>
    </w:tblStylePr>
  </w:style>
  <w:style w:type="table" w:styleId="32">
    <w:name w:val="Medium Grid 3 Accent 4"/>
    <w:basedOn w:val="16"/>
    <w:uiPriority w:val="69"/>
    <w:pPr>
      <w:spacing w:beforeAutospacing="1" w:afterAutospacing="1"/>
    </w:pPr>
    <w:rPr>
      <w:rFonts w:ascii="Calibri" w:hAnsi="Calibri" w:eastAsia="宋体" w:cs="Times New Roman"/>
      <w:kern w:val="2"/>
      <w:sz w:val="21"/>
      <w:szCs w:val="22"/>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8064A2"/>
      </w:tcPr>
    </w:tblStylePr>
    <w:tblStylePr w:type="firstCol">
      <w:rPr>
        <w:b/>
        <w:bCs/>
        <w:i w:val="0"/>
        <w:iCs w:val="0"/>
        <w:color w:val="FFFFFF"/>
      </w:rPr>
      <w:tblPr/>
      <w:tcPr>
        <w:tcBorders>
          <w:top w:val="nil"/>
          <w:left w:val="single" w:color="FFFFFF" w:sz="8" w:space="0"/>
          <w:bottom w:val="nil"/>
          <w:right w:val="single" w:color="FFFFFF" w:sz="24" w:space="0"/>
          <w:insideH w:val="nil"/>
          <w:insideV w:val="nil"/>
          <w:tl2br w:val="nil"/>
          <w:tr2bl w:val="nil"/>
        </w:tcBorders>
        <w:shd w:val="clear" w:color="auto" w:fill="8064A2"/>
      </w:tcPr>
    </w:tblStylePr>
    <w:tblStylePr w:type="lastCol">
      <w:rPr>
        <w:b/>
        <w:bCs/>
        <w:i w:val="0"/>
        <w:iCs w:val="0"/>
        <w:color w:val="FFFFFF"/>
      </w:rPr>
      <w:tblPr/>
      <w:tcPr>
        <w:tcBorders>
          <w:top w:val="nil"/>
          <w:left w:val="single" w:color="FFFFFF" w:sz="24" w:space="0"/>
          <w:bottom w:val="nil"/>
          <w:right w:val="nil"/>
          <w:insideH w:val="nil"/>
          <w:insideV w:val="nil"/>
          <w:tl2br w:val="nil"/>
          <w:tr2bl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BFB1D0"/>
      </w:tcPr>
    </w:tblStylePr>
  </w:style>
  <w:style w:type="table" w:styleId="33">
    <w:name w:val="Medium Grid 3 Accent 6"/>
    <w:basedOn w:val="16"/>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FDE5D1"/>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F79646"/>
      </w:tcPr>
    </w:tblStylePr>
    <w:tblStylePr w:type="firstCol">
      <w:rPr>
        <w:b/>
        <w:bCs/>
        <w:i w:val="0"/>
        <w:iCs w:val="0"/>
        <w:color w:val="FFFFFF"/>
      </w:rPr>
      <w:tblPr/>
      <w:tcPr>
        <w:tcBorders>
          <w:top w:val="nil"/>
          <w:left w:val="single" w:color="FFFFFF" w:sz="8" w:space="0"/>
          <w:bottom w:val="nil"/>
          <w:right w:val="single" w:color="FFFFFF" w:sz="24" w:space="0"/>
          <w:insideH w:val="nil"/>
          <w:insideV w:val="nil"/>
          <w:tl2br w:val="nil"/>
          <w:tr2bl w:val="nil"/>
        </w:tcBorders>
        <w:shd w:val="clear" w:color="auto" w:fill="F79646"/>
      </w:tcPr>
    </w:tblStylePr>
    <w:tblStylePr w:type="lastCol">
      <w:rPr>
        <w:b/>
        <w:bCs/>
        <w:i w:val="0"/>
        <w:iCs w:val="0"/>
        <w:color w:val="FFFFFF"/>
      </w:rPr>
      <w:tblPr/>
      <w:tcPr>
        <w:tcBorders>
          <w:top w:val="nil"/>
          <w:left w:val="single" w:color="FFFFFF" w:sz="24" w:space="0"/>
          <w:bottom w:val="nil"/>
          <w:right w:val="nil"/>
          <w:insideH w:val="nil"/>
          <w:insideV w:val="nil"/>
          <w:tl2br w:val="nil"/>
          <w:tr2bl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FBCAA2"/>
      </w:tcPr>
    </w:tblStylePr>
  </w:style>
  <w:style w:type="character" w:styleId="35">
    <w:name w:val="Strong"/>
    <w:basedOn w:val="34"/>
    <w:qFormat/>
    <w:uiPriority w:val="22"/>
    <w:rPr>
      <w:rFonts w:cs="Times New Roman"/>
      <w:b/>
      <w:bCs/>
    </w:rPr>
  </w:style>
  <w:style w:type="character" w:styleId="36">
    <w:name w:val="FollowedHyperlink"/>
    <w:basedOn w:val="34"/>
    <w:unhideWhenUsed/>
    <w:qFormat/>
    <w:uiPriority w:val="99"/>
    <w:rPr>
      <w:rFonts w:cs="Times New Roman"/>
      <w:color w:val="800080"/>
      <w:u w:val="single"/>
    </w:rPr>
  </w:style>
  <w:style w:type="character" w:styleId="37">
    <w:name w:val="Hyperlink"/>
    <w:basedOn w:val="34"/>
    <w:unhideWhenUsed/>
    <w:qFormat/>
    <w:uiPriority w:val="99"/>
    <w:rPr>
      <w:rFonts w:cs="Times New Roman"/>
      <w:color w:val="0000FF"/>
      <w:u w:val="single"/>
    </w:rPr>
  </w:style>
  <w:style w:type="character" w:styleId="38">
    <w:name w:val="annotation reference"/>
    <w:basedOn w:val="34"/>
    <w:qFormat/>
    <w:uiPriority w:val="0"/>
    <w:rPr>
      <w:sz w:val="21"/>
      <w:szCs w:val="21"/>
    </w:rPr>
  </w:style>
  <w:style w:type="character" w:styleId="39">
    <w:name w:val="footnote reference"/>
    <w:basedOn w:val="34"/>
    <w:semiHidden/>
    <w:qFormat/>
    <w:uiPriority w:val="0"/>
    <w:rPr>
      <w:rFonts w:cs="Times New Roman"/>
      <w:vertAlign w:val="superscript"/>
    </w:rPr>
  </w:style>
  <w:style w:type="paragraph" w:customStyle="1" w:styleId="40">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华文楷体" w:hAnsi="华文楷体" w:eastAsia="华文楷体" w:cs="宋体"/>
      <w:kern w:val="0"/>
      <w:sz w:val="24"/>
      <w:szCs w:val="24"/>
    </w:rPr>
  </w:style>
  <w:style w:type="paragraph" w:customStyle="1" w:styleId="41">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华文楷体" w:hAnsi="华文楷体" w:eastAsia="华文楷体" w:cs="宋体"/>
      <w:kern w:val="0"/>
      <w:sz w:val="24"/>
      <w:szCs w:val="24"/>
    </w:rPr>
  </w:style>
  <w:style w:type="paragraph" w:customStyle="1" w:styleId="42">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华文楷体" w:hAnsi="华文楷体" w:eastAsia="华文楷体" w:cs="宋体"/>
      <w:kern w:val="0"/>
      <w:sz w:val="24"/>
      <w:szCs w:val="24"/>
    </w:rPr>
  </w:style>
  <w:style w:type="paragraph" w:customStyle="1" w:styleId="43">
    <w:name w:val="列出段落1"/>
    <w:basedOn w:val="1"/>
    <w:qFormat/>
    <w:uiPriority w:val="34"/>
    <w:pPr>
      <w:ind w:firstLine="420" w:firstLineChars="200"/>
    </w:pPr>
  </w:style>
  <w:style w:type="paragraph" w:customStyle="1" w:styleId="44">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5">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6">
    <w:name w:val="xl63"/>
    <w:basedOn w:val="1"/>
    <w:qFormat/>
    <w:uiPriority w:val="0"/>
    <w:pPr>
      <w:widowControl/>
      <w:spacing w:before="100" w:beforeAutospacing="1" w:after="100" w:afterAutospacing="1"/>
      <w:jc w:val="left"/>
    </w:pPr>
    <w:rPr>
      <w:rFonts w:ascii="宋体" w:hAnsi="宋体" w:cs="宋体"/>
      <w:b/>
      <w:bCs/>
      <w:kern w:val="0"/>
      <w:sz w:val="28"/>
      <w:szCs w:val="28"/>
    </w:rPr>
  </w:style>
  <w:style w:type="paragraph" w:customStyle="1" w:styleId="47">
    <w:name w:val="xl64"/>
    <w:basedOn w:val="1"/>
    <w:qFormat/>
    <w:uiPriority w:val="0"/>
    <w:pPr>
      <w:widowControl/>
      <w:spacing w:before="100" w:beforeAutospacing="1" w:after="100" w:afterAutospacing="1"/>
      <w:jc w:val="left"/>
      <w:textAlignment w:val="bottom"/>
    </w:pPr>
    <w:rPr>
      <w:rFonts w:ascii="宋体" w:hAnsi="宋体" w:cs="宋体"/>
      <w:kern w:val="0"/>
      <w:sz w:val="24"/>
      <w:szCs w:val="24"/>
    </w:rPr>
  </w:style>
  <w:style w:type="paragraph" w:customStyle="1" w:styleId="48">
    <w:name w:val="xl65"/>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49">
    <w:name w:val="xl66"/>
    <w:basedOn w:val="1"/>
    <w:qFormat/>
    <w:uiPriority w:val="0"/>
    <w:pPr>
      <w:widowControl/>
      <w:spacing w:before="100" w:beforeAutospacing="1" w:after="100" w:afterAutospacing="1"/>
      <w:jc w:val="center"/>
    </w:pPr>
    <w:rPr>
      <w:rFonts w:ascii="华文楷体" w:hAnsi="华文楷体" w:eastAsia="华文楷体" w:cs="宋体"/>
      <w:kern w:val="0"/>
      <w:sz w:val="24"/>
      <w:szCs w:val="24"/>
    </w:rPr>
  </w:style>
  <w:style w:type="paragraph" w:customStyle="1" w:styleId="50">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华文楷体" w:hAnsi="华文楷体" w:eastAsia="华文楷体" w:cs="宋体"/>
      <w:kern w:val="0"/>
      <w:sz w:val="24"/>
      <w:szCs w:val="24"/>
    </w:rPr>
  </w:style>
  <w:style w:type="paragraph" w:customStyle="1" w:styleId="51">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华文楷体" w:hAnsi="华文楷体" w:eastAsia="华文楷体" w:cs="宋体"/>
      <w:kern w:val="0"/>
      <w:sz w:val="24"/>
      <w:szCs w:val="24"/>
    </w:rPr>
  </w:style>
  <w:style w:type="paragraph" w:customStyle="1" w:styleId="52">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华文楷体" w:hAnsi="华文楷体" w:eastAsia="华文楷体" w:cs="宋体"/>
      <w:kern w:val="0"/>
      <w:sz w:val="24"/>
      <w:szCs w:val="24"/>
    </w:rPr>
  </w:style>
  <w:style w:type="paragraph" w:customStyle="1" w:styleId="53">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宋体" w:eastAsia="黑体" w:cs="宋体"/>
      <w:b/>
      <w:bCs/>
      <w:kern w:val="0"/>
      <w:sz w:val="24"/>
      <w:szCs w:val="24"/>
    </w:rPr>
  </w:style>
  <w:style w:type="paragraph" w:customStyle="1" w:styleId="54">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宋体" w:eastAsia="黑体" w:cs="宋体"/>
      <w:kern w:val="0"/>
      <w:sz w:val="24"/>
      <w:szCs w:val="24"/>
    </w:rPr>
  </w:style>
  <w:style w:type="paragraph" w:customStyle="1" w:styleId="55">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华文仿宋" w:hAnsi="华文仿宋" w:eastAsia="华文仿宋" w:cs="宋体"/>
      <w:kern w:val="0"/>
      <w:sz w:val="24"/>
      <w:szCs w:val="24"/>
    </w:rPr>
  </w:style>
  <w:style w:type="paragraph" w:customStyle="1" w:styleId="56">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华文仿宋" w:hAnsi="华文仿宋" w:eastAsia="华文仿宋" w:cs="宋体"/>
      <w:kern w:val="0"/>
      <w:sz w:val="24"/>
      <w:szCs w:val="24"/>
    </w:rPr>
  </w:style>
  <w:style w:type="paragraph" w:customStyle="1" w:styleId="57">
    <w:name w:val="xl77"/>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58">
    <w:name w:val="xl78"/>
    <w:basedOn w:val="1"/>
    <w:qFormat/>
    <w:uiPriority w:val="0"/>
    <w:pPr>
      <w:widowControl/>
      <w:pBdr>
        <w:bottom w:val="single" w:color="auto" w:sz="4" w:space="0"/>
      </w:pBdr>
      <w:spacing w:before="100" w:beforeAutospacing="1" w:after="100" w:afterAutospacing="1"/>
      <w:jc w:val="center"/>
    </w:pPr>
    <w:rPr>
      <w:rFonts w:ascii="黑体" w:hAnsi="宋体" w:eastAsia="黑体" w:cs="宋体"/>
      <w:b/>
      <w:bCs/>
      <w:kern w:val="0"/>
      <w:sz w:val="32"/>
      <w:szCs w:val="32"/>
    </w:rPr>
  </w:style>
  <w:style w:type="paragraph" w:customStyle="1" w:styleId="59">
    <w:name w:val="Decimal Aligned"/>
    <w:basedOn w:val="1"/>
    <w:qFormat/>
    <w:uiPriority w:val="40"/>
    <w:pPr>
      <w:widowControl/>
      <w:tabs>
        <w:tab w:val="decimal" w:pos="360"/>
      </w:tabs>
      <w:spacing w:after="200" w:line="276" w:lineRule="auto"/>
      <w:jc w:val="left"/>
    </w:pPr>
    <w:rPr>
      <w:kern w:val="0"/>
      <w:sz w:val="22"/>
    </w:rPr>
  </w:style>
  <w:style w:type="paragraph" w:customStyle="1" w:styleId="60">
    <w:name w:val="TOC 标题1"/>
    <w:basedOn w:val="2"/>
    <w:next w:val="1"/>
    <w:unhideWhenUsed/>
    <w:qFormat/>
    <w:uiPriority w:val="39"/>
    <w:pPr>
      <w:widowControl/>
      <w:spacing w:before="480" w:after="0" w:line="276" w:lineRule="auto"/>
      <w:jc w:val="left"/>
      <w:outlineLvl w:val="9"/>
    </w:pPr>
    <w:rPr>
      <w:rFonts w:ascii="Cambria" w:hAnsi="Cambria"/>
      <w:color w:val="366091"/>
      <w:kern w:val="0"/>
      <w:sz w:val="28"/>
      <w:szCs w:val="28"/>
    </w:rPr>
  </w:style>
  <w:style w:type="paragraph" w:customStyle="1" w:styleId="6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2">
    <w:name w:val="Char"/>
    <w:basedOn w:val="1"/>
    <w:qFormat/>
    <w:uiPriority w:val="0"/>
    <w:pPr>
      <w:spacing w:line="360" w:lineRule="auto"/>
      <w:ind w:firstLine="420"/>
    </w:pPr>
    <w:rPr>
      <w:rFonts w:ascii="Times New Roman" w:hAnsi="Times New Roman"/>
      <w:szCs w:val="20"/>
    </w:rPr>
  </w:style>
  <w:style w:type="paragraph" w:customStyle="1" w:styleId="63">
    <w:name w:val="p15"/>
    <w:basedOn w:val="1"/>
    <w:qFormat/>
    <w:uiPriority w:val="0"/>
    <w:pPr>
      <w:widowControl/>
    </w:pPr>
    <w:rPr>
      <w:rFonts w:ascii="Times New Roman" w:hAnsi="Times New Roman"/>
      <w:kern w:val="0"/>
      <w:szCs w:val="21"/>
    </w:rPr>
  </w:style>
  <w:style w:type="paragraph" w:customStyle="1" w:styleId="64">
    <w:name w:val="列出段落2"/>
    <w:basedOn w:val="1"/>
    <w:qFormat/>
    <w:uiPriority w:val="34"/>
    <w:pPr>
      <w:ind w:firstLine="420" w:firstLineChars="200"/>
    </w:pPr>
  </w:style>
  <w:style w:type="character" w:customStyle="1" w:styleId="65">
    <w:name w:val="页眉 Char"/>
    <w:basedOn w:val="34"/>
    <w:link w:val="10"/>
    <w:qFormat/>
    <w:uiPriority w:val="99"/>
    <w:rPr>
      <w:sz w:val="18"/>
      <w:szCs w:val="18"/>
    </w:rPr>
  </w:style>
  <w:style w:type="character" w:customStyle="1" w:styleId="66">
    <w:name w:val="页脚 Char"/>
    <w:basedOn w:val="34"/>
    <w:link w:val="9"/>
    <w:qFormat/>
    <w:uiPriority w:val="99"/>
    <w:rPr>
      <w:sz w:val="18"/>
      <w:szCs w:val="18"/>
    </w:rPr>
  </w:style>
  <w:style w:type="character" w:customStyle="1" w:styleId="67">
    <w:name w:val="标题 1 Char"/>
    <w:basedOn w:val="34"/>
    <w:link w:val="2"/>
    <w:qFormat/>
    <w:uiPriority w:val="9"/>
    <w:rPr>
      <w:rFonts w:ascii="Calibri" w:hAnsi="Calibri" w:eastAsia="宋体" w:cs="Times New Roman"/>
      <w:b/>
      <w:bCs/>
      <w:kern w:val="44"/>
      <w:sz w:val="44"/>
      <w:szCs w:val="44"/>
    </w:rPr>
  </w:style>
  <w:style w:type="character" w:customStyle="1" w:styleId="68">
    <w:name w:val="脚注文本 Char"/>
    <w:basedOn w:val="34"/>
    <w:link w:val="13"/>
    <w:qFormat/>
    <w:uiPriority w:val="0"/>
    <w:rPr>
      <w:rFonts w:ascii="Calibri" w:hAnsi="Calibri" w:eastAsia="宋体" w:cs="Times New Roman"/>
      <w:sz w:val="18"/>
      <w:szCs w:val="18"/>
    </w:rPr>
  </w:style>
  <w:style w:type="character" w:customStyle="1" w:styleId="69">
    <w:name w:val="批注框文本 Char"/>
    <w:basedOn w:val="34"/>
    <w:link w:val="8"/>
    <w:qFormat/>
    <w:uiPriority w:val="99"/>
    <w:rPr>
      <w:rFonts w:ascii="Calibri" w:hAnsi="Calibri" w:eastAsia="宋体" w:cs="Times New Roman"/>
      <w:sz w:val="18"/>
      <w:szCs w:val="18"/>
    </w:rPr>
  </w:style>
  <w:style w:type="character" w:customStyle="1" w:styleId="70">
    <w:name w:val="批注框文本 Char1"/>
    <w:basedOn w:val="34"/>
    <w:link w:val="8"/>
    <w:qFormat/>
    <w:locked/>
    <w:uiPriority w:val="99"/>
    <w:rPr>
      <w:rFonts w:ascii="Calibri" w:hAnsi="Calibri" w:eastAsia="宋体" w:cs="Times New Roman"/>
      <w:sz w:val="18"/>
      <w:szCs w:val="18"/>
    </w:rPr>
  </w:style>
  <w:style w:type="character" w:customStyle="1" w:styleId="71">
    <w:name w:val="脚注文本 Char1"/>
    <w:basedOn w:val="34"/>
    <w:link w:val="13"/>
    <w:qFormat/>
    <w:locked/>
    <w:uiPriority w:val="0"/>
    <w:rPr>
      <w:rFonts w:ascii="Calibri" w:hAnsi="Calibri" w:eastAsia="宋体" w:cs="Times New Roman"/>
      <w:kern w:val="0"/>
      <w:sz w:val="20"/>
      <w:szCs w:val="20"/>
    </w:rPr>
  </w:style>
  <w:style w:type="character" w:customStyle="1" w:styleId="72">
    <w:name w:val="font01"/>
    <w:basedOn w:val="34"/>
    <w:qFormat/>
    <w:uiPriority w:val="0"/>
    <w:rPr>
      <w:rFonts w:hint="eastAsia" w:ascii="宋体" w:hAnsi="宋体" w:eastAsia="宋体" w:cs="宋体"/>
      <w:color w:val="000000"/>
      <w:sz w:val="18"/>
      <w:szCs w:val="18"/>
      <w:u w:val="none"/>
    </w:rPr>
  </w:style>
  <w:style w:type="character" w:customStyle="1" w:styleId="73">
    <w:name w:val="不明显强调1"/>
    <w:basedOn w:val="34"/>
    <w:qFormat/>
    <w:uiPriority w:val="19"/>
    <w:rPr>
      <w:rFonts w:eastAsia="宋体" w:cs="Times New Roman"/>
      <w:i/>
      <w:iCs/>
      <w:color w:val="7F7F7F"/>
      <w:sz w:val="22"/>
      <w:szCs w:val="22"/>
      <w:lang w:eastAsia="zh-CN"/>
    </w:rPr>
  </w:style>
  <w:style w:type="character" w:customStyle="1" w:styleId="74">
    <w:name w:val="批注文字 Char"/>
    <w:basedOn w:val="34"/>
    <w:link w:val="6"/>
    <w:qFormat/>
    <w:uiPriority w:val="0"/>
    <w:rPr>
      <w:rFonts w:ascii="Calibri" w:hAnsi="Calibri" w:eastAsia="宋体" w:cs="Times New Roman"/>
      <w:kern w:val="2"/>
      <w:sz w:val="21"/>
      <w:szCs w:val="24"/>
    </w:rPr>
  </w:style>
  <w:style w:type="character" w:customStyle="1" w:styleId="75">
    <w:name w:val="apple-converted-space"/>
    <w:basedOn w:val="34"/>
    <w:qFormat/>
    <w:uiPriority w:val="0"/>
    <w:rPr>
      <w:rFonts w:cs="Times New Roman"/>
    </w:rPr>
  </w:style>
  <w:style w:type="character" w:customStyle="1" w:styleId="76">
    <w:name w:val="页眉 Char1"/>
    <w:basedOn w:val="34"/>
    <w:semiHidden/>
    <w:qFormat/>
    <w:uiPriority w:val="99"/>
    <w:rPr>
      <w:rFonts w:cs="Times New Roman"/>
      <w:kern w:val="2"/>
      <w:sz w:val="18"/>
      <w:szCs w:val="18"/>
    </w:rPr>
  </w:style>
  <w:style w:type="character" w:customStyle="1" w:styleId="77">
    <w:name w:val="页脚 Char1"/>
    <w:basedOn w:val="34"/>
    <w:semiHidden/>
    <w:qFormat/>
    <w:uiPriority w:val="99"/>
    <w:rPr>
      <w:rFonts w:cs="Times New Roman"/>
      <w:kern w:val="2"/>
      <w:sz w:val="18"/>
      <w:szCs w:val="18"/>
    </w:rPr>
  </w:style>
  <w:style w:type="character" w:customStyle="1" w:styleId="78">
    <w:name w:val="标题 3 Char"/>
    <w:basedOn w:val="34"/>
    <w:link w:val="4"/>
    <w:semiHidden/>
    <w:qFormat/>
    <w:uiPriority w:val="9"/>
    <w:rPr>
      <w:rFonts w:ascii="Calibri" w:hAnsi="Calibri" w:eastAsia="宋体" w:cs="Times New Roman"/>
      <w:b/>
      <w:bCs/>
      <w:sz w:val="32"/>
      <w:szCs w:val="32"/>
    </w:rPr>
  </w:style>
  <w:style w:type="character" w:customStyle="1" w:styleId="79">
    <w:name w:val="标题 2 Char"/>
    <w:basedOn w:val="34"/>
    <w:link w:val="3"/>
    <w:semiHidden/>
    <w:qFormat/>
    <w:uiPriority w:val="9"/>
    <w:rPr>
      <w:rFonts w:ascii="Cambria" w:hAnsi="Cambria" w:eastAsia="宋体" w:cs="Times New Roman"/>
      <w:b/>
      <w:bCs/>
      <w:sz w:val="32"/>
      <w:szCs w:val="32"/>
    </w:rPr>
  </w:style>
  <w:style w:type="character" w:customStyle="1" w:styleId="80">
    <w:name w:val="font71"/>
    <w:basedOn w:val="34"/>
    <w:qFormat/>
    <w:uiPriority w:val="0"/>
    <w:rPr>
      <w:rFonts w:hint="eastAsia" w:ascii="宋体" w:hAnsi="宋体" w:eastAsia="宋体" w:cs="宋体"/>
      <w:color w:val="000000"/>
      <w:sz w:val="18"/>
      <w:szCs w:val="18"/>
      <w:u w:val="none"/>
    </w:rPr>
  </w:style>
  <w:style w:type="character" w:customStyle="1" w:styleId="81">
    <w:name w:val="font41"/>
    <w:basedOn w:val="34"/>
    <w:qFormat/>
    <w:uiPriority w:val="0"/>
    <w:rPr>
      <w:rFonts w:hint="eastAsia" w:ascii="宋体" w:hAnsi="宋体" w:eastAsia="宋体" w:cs="宋体"/>
      <w:b/>
      <w:color w:val="000000"/>
      <w:sz w:val="18"/>
      <w:szCs w:val="18"/>
      <w:u w:val="none"/>
    </w:rPr>
  </w:style>
  <w:style w:type="table" w:customStyle="1" w:styleId="82">
    <w:name w:val="Medium Shading 2 - Accent 3"/>
    <w:basedOn w:val="16"/>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pPr>
      <w:rPr>
        <w:rFonts w:cs="Times New Roman"/>
        <w:b/>
        <w:bCs/>
        <w:color w:val="FFFFFF"/>
      </w:rPr>
      <w:tcPr>
        <w:tcBorders>
          <w:top w:val="single" w:color="auto" w:sz="18" w:space="0"/>
          <w:left w:val="single" w:color="auto" w:sz="18" w:space="0"/>
          <w:bottom w:val="nil"/>
          <w:right w:val="nil"/>
          <w:insideH w:val="nil"/>
          <w:insideV w:val="nil"/>
          <w:tl2br w:val="nil"/>
          <w:tr2bl w:val="nil"/>
        </w:tcBorders>
        <w:shd w:val="clear" w:color="auto" w:fill="9BBB59"/>
      </w:tcPr>
    </w:tblStylePr>
    <w:tblStylePr w:type="lastRow">
      <w:pPr>
        <w:spacing w:before="0" w:after="0"/>
      </w:pPr>
      <w:rPr>
        <w:rFonts w:cs="Times New Roman"/>
        <w:color w:val="auto"/>
      </w:r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rFonts w:cs="Times New Roman"/>
        <w:b/>
        <w:bCs/>
        <w:color w:val="FFFFFF"/>
      </w:rPr>
      <w:tcPr>
        <w:tcBorders>
          <w:top w:val="nil"/>
          <w:left w:val="single" w:color="auto" w:sz="18" w:space="0"/>
          <w:bottom w:val="nil"/>
          <w:right w:val="nil"/>
          <w:insideH w:val="nil"/>
          <w:insideV w:val="nil"/>
          <w:tl2br w:val="nil"/>
          <w:tr2bl w:val="nil"/>
        </w:tcBorders>
        <w:shd w:val="clear" w:color="auto" w:fill="9BBB59"/>
      </w:tcPr>
    </w:tblStylePr>
    <w:tblStylePr w:type="lastCol">
      <w:rPr>
        <w:rFonts w:cs="Times New Roman"/>
        <w:b/>
        <w:bCs/>
        <w:color w:val="FFFFFF"/>
      </w:rPr>
      <w:tcPr>
        <w:tcBorders>
          <w:top w:val="nil"/>
          <w:left w:val="nil"/>
          <w:bottom w:val="nil"/>
          <w:right w:val="nil"/>
          <w:insideH w:val="nil"/>
          <w:insideV w:val="nil"/>
          <w:tl2br w:val="nil"/>
          <w:tr2bl w:val="nil"/>
        </w:tcBorders>
        <w:shd w:val="clear" w:color="auto" w:fill="9BBB59"/>
      </w:tcPr>
    </w:tblStylePr>
    <w:tblStylePr w:type="band1Vert">
      <w:rPr>
        <w:rFonts w:cs="Times New Roman"/>
      </w:rPr>
      <w:tcPr>
        <w:tcBorders>
          <w:top w:val="nil"/>
          <w:left w:val="nil"/>
          <w:bottom w:val="nil"/>
          <w:right w:val="nil"/>
          <w:insideH w:val="nil"/>
          <w:insideV w:val="nil"/>
          <w:tl2br w:val="nil"/>
          <w:tr2bl w:val="nil"/>
        </w:tcBorders>
        <w:shd w:val="clear" w:color="auto" w:fill="D7D7D7"/>
      </w:tcPr>
    </w:tblStylePr>
    <w:tblStylePr w:type="band1Horz">
      <w:rPr>
        <w:rFonts w:cs="Times New Roman"/>
      </w:rPr>
      <w:tcPr>
        <w:shd w:val="clear" w:color="auto" w:fill="D7D7D7"/>
      </w:tcPr>
    </w:tblStylePr>
    <w:tblStylePr w:type="neCell">
      <w:rPr>
        <w:rFonts w:cs="Times New Roman"/>
      </w:rPr>
      <w:tcPr>
        <w:tcBorders>
          <w:top w:val="single" w:color="auto" w:sz="18" w:space="0"/>
          <w:left w:val="single" w:color="auto" w:sz="18" w:space="0"/>
          <w:bottom w:val="nil"/>
          <w:right w:val="nil"/>
          <w:insideH w:val="nil"/>
          <w:insideV w:val="nil"/>
          <w:tl2br w:val="nil"/>
          <w:tr2bl w:val="nil"/>
        </w:tcBorders>
      </w:tcPr>
    </w:tblStylePr>
    <w:tblStylePr w:type="nwCell">
      <w:rPr>
        <w:rFonts w:cs="Times New Roman"/>
        <w:color w:val="FFFFFF"/>
      </w:rPr>
      <w:tcPr>
        <w:tcBorders>
          <w:top w:val="single" w:color="auto" w:sz="18" w:space="0"/>
          <w:left w:val="single" w:color="auto" w:sz="18" w:space="0"/>
          <w:bottom w:val="nil"/>
          <w:right w:val="nil"/>
          <w:insideH w:val="nil"/>
          <w:insideV w:val="nil"/>
          <w:tl2br w:val="nil"/>
          <w:tr2bl w:val="nil"/>
        </w:tcBorders>
      </w:tcPr>
    </w:tblStylePr>
  </w:style>
  <w:style w:type="table" w:customStyle="1" w:styleId="83">
    <w:name w:val="Light Grid - Accent 6"/>
    <w:basedOn w:val="16"/>
    <w:qFormat/>
    <w:uiPriority w:val="62"/>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
    <w:tblStylePr w:type="firstRow">
      <w:pPr>
        <w:spacing w:before="0" w:after="0"/>
      </w:pPr>
      <w:rPr>
        <w:rFonts w:ascii="Helvetica" w:hAnsi="Helvetica" w:eastAsia="Times New Roman" w:cs="Times New Roman"/>
        <w:b/>
        <w:bCs/>
      </w:rPr>
      <w:tcPr>
        <w:tcBorders>
          <w:top w:val="single" w:color="F79646" w:sz="8" w:space="0"/>
          <w:left w:val="single" w:color="F79646" w:sz="18" w:space="0"/>
          <w:bottom w:val="single" w:color="F79646" w:sz="8" w:space="0"/>
          <w:right w:val="single" w:color="F79646" w:sz="8" w:space="0"/>
          <w:insideH w:val="nil"/>
          <w:insideV w:val="single" w:sz="8" w:space="0"/>
          <w:tl2br w:val="nil"/>
          <w:tr2bl w:val="nil"/>
        </w:tcBorders>
      </w:tcPr>
    </w:tblStylePr>
    <w:tblStylePr w:type="lastRow">
      <w:pPr>
        <w:spacing w:before="0" w:after="0"/>
      </w:pPr>
      <w:rPr>
        <w:rFonts w:ascii="Helvetica" w:hAnsi="Helvetica" w:eastAsia="Times New Roman" w:cs="Times New Roman"/>
        <w:b/>
        <w:bCs/>
      </w:rPr>
      <w:tcPr>
        <w:tcBorders>
          <w:top w:val="double" w:color="F79646" w:sz="6" w:space="0"/>
          <w:left w:val="single" w:color="F79646" w:sz="8" w:space="0"/>
          <w:bottom w:val="single" w:color="F79646" w:sz="8" w:space="0"/>
          <w:right w:val="single" w:color="F79646" w:sz="8" w:space="0"/>
          <w:insideH w:val="nil"/>
          <w:insideV w:val="single" w:sz="8" w:space="0"/>
          <w:tl2br w:val="nil"/>
          <w:tr2bl w:val="nil"/>
        </w:tcBorders>
      </w:tcPr>
    </w:tblStylePr>
    <w:tblStylePr w:type="firstCol">
      <w:rPr>
        <w:rFonts w:ascii="Helvetica" w:hAnsi="Helvetica" w:eastAsia="Times New Roman" w:cs="Times New Roman"/>
        <w:b/>
        <w:bCs/>
      </w:rPr>
    </w:tblStylePr>
    <w:tblStylePr w:type="lastCol">
      <w:rPr>
        <w:rFonts w:ascii="Helvetica" w:hAnsi="Helvetica" w:eastAsia="Times New Roman" w:cs="Times New Roman"/>
        <w:b/>
        <w:bCs/>
      </w:rPr>
      <w:tcPr>
        <w:tcBorders>
          <w:top w:val="single" w:color="F79646" w:sz="8" w:space="0"/>
          <w:left w:val="single" w:color="F79646" w:sz="8" w:space="0"/>
          <w:bottom w:val="single" w:color="F79646" w:sz="8" w:space="0"/>
          <w:right w:val="single" w:color="F79646" w:sz="8" w:space="0"/>
          <w:insideH w:val="nil"/>
          <w:insideV w:val="nil"/>
          <w:tl2br w:val="nil"/>
          <w:tr2bl w:val="nil"/>
        </w:tcBorders>
      </w:tcPr>
    </w:tblStylePr>
    <w:tblStylePr w:type="band1Vert">
      <w:rPr>
        <w:rFonts w:cs="Times New Roman"/>
      </w:rPr>
      <w:tcPr>
        <w:tcBorders>
          <w:top w:val="single" w:color="F79646" w:sz="8" w:space="0"/>
          <w:left w:val="single" w:color="F79646" w:sz="8" w:space="0"/>
          <w:bottom w:val="single" w:color="F79646" w:sz="8" w:space="0"/>
          <w:right w:val="single" w:color="F79646" w:sz="8" w:space="0"/>
          <w:insideH w:val="nil"/>
          <w:insideV w:val="nil"/>
          <w:tl2br w:val="nil"/>
          <w:tr2bl w:val="nil"/>
        </w:tcBorders>
        <w:shd w:val="clear" w:color="auto" w:fill="FDE5D1"/>
      </w:tcPr>
    </w:tblStylePr>
    <w:tblStylePr w:type="band1Horz">
      <w:rPr>
        <w:rFonts w:cs="Times New Roman"/>
      </w:rPr>
      <w:tcPr>
        <w:tcBorders>
          <w:top w:val="single" w:color="F79646" w:sz="8" w:space="0"/>
          <w:left w:val="single" w:color="F79646" w:sz="8" w:space="0"/>
          <w:bottom w:val="single" w:color="F79646" w:sz="8" w:space="0"/>
          <w:right w:val="single" w:color="F79646" w:sz="8" w:space="0"/>
          <w:insideH w:val="nil"/>
          <w:insideV w:val="single" w:sz="8" w:space="0"/>
          <w:tl2br w:val="nil"/>
          <w:tr2bl w:val="nil"/>
        </w:tcBorders>
        <w:shd w:val="clear" w:color="auto" w:fill="FDE5D1"/>
      </w:tcPr>
    </w:tblStylePr>
    <w:tblStylePr w:type="band2Horz">
      <w:rPr>
        <w:rFonts w:cs="Times New Roman"/>
      </w:rPr>
      <w:tcPr>
        <w:tcBorders>
          <w:top w:val="single" w:color="F79646" w:sz="8" w:space="0"/>
          <w:left w:val="single" w:color="F79646" w:sz="8" w:space="0"/>
          <w:bottom w:val="single" w:color="F79646" w:sz="8" w:space="0"/>
          <w:right w:val="single" w:color="F79646" w:sz="8" w:space="0"/>
          <w:insideH w:val="nil"/>
          <w:insideV w:val="single" w:sz="8" w:space="0"/>
          <w:tl2br w:val="nil"/>
          <w:tr2bl w:val="nil"/>
        </w:tcBorders>
      </w:tcPr>
    </w:tblStylePr>
  </w:style>
  <w:style w:type="table" w:customStyle="1" w:styleId="84">
    <w:name w:val="Light List - Accent 6"/>
    <w:basedOn w:val="16"/>
    <w:qFormat/>
    <w:uiPriority w:val="61"/>
    <w:tblPr>
      <w:tblBorders>
        <w:top w:val="single" w:color="F79646" w:sz="8" w:space="0"/>
        <w:left w:val="single" w:color="F79646" w:sz="8" w:space="0"/>
        <w:bottom w:val="single" w:color="F79646" w:sz="8" w:space="0"/>
        <w:right w:val="single" w:color="F79646" w:sz="8" w:space="0"/>
      </w:tblBorders>
      <w:tblCellMar>
        <w:top w:w="0" w:type="dxa"/>
        <w:left w:w="108" w:type="dxa"/>
        <w:bottom w:w="0" w:type="dxa"/>
        <w:right w:w="108" w:type="dxa"/>
      </w:tblCellMar>
    </w:tblPr>
    <w:tblStylePr w:type="firstRow">
      <w:pPr>
        <w:spacing w:before="0" w:after="0"/>
      </w:pPr>
      <w:rPr>
        <w:rFonts w:cs="Times New Roman"/>
        <w:b/>
        <w:bCs/>
        <w:color w:val="FFFFFF"/>
      </w:rPr>
      <w:tcPr>
        <w:shd w:val="clear" w:color="auto" w:fill="F79646"/>
      </w:tcPr>
    </w:tblStylePr>
    <w:tblStylePr w:type="lastRow">
      <w:pPr>
        <w:spacing w:before="0" w:after="0"/>
      </w:pPr>
      <w:rPr>
        <w:rFonts w:cs="Times New Roman"/>
        <w:b/>
        <w:bCs/>
      </w:rPr>
      <w:tcPr>
        <w:tcBorders>
          <w:top w:val="double" w:color="F79646" w:sz="6" w:space="0"/>
          <w:left w:val="single" w:color="F79646" w:sz="8" w:space="0"/>
          <w:bottom w:val="single" w:color="F79646" w:sz="8" w:space="0"/>
          <w:right w:val="single" w:color="F79646"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F79646" w:sz="8" w:space="0"/>
          <w:left w:val="single" w:color="F79646" w:sz="8" w:space="0"/>
          <w:bottom w:val="single" w:color="F79646" w:sz="8" w:space="0"/>
          <w:right w:val="single" w:color="F79646" w:sz="8" w:space="0"/>
          <w:insideH w:val="nil"/>
          <w:insideV w:val="nil"/>
          <w:tl2br w:val="nil"/>
          <w:tr2bl w:val="nil"/>
        </w:tcBorders>
      </w:tcPr>
    </w:tblStylePr>
    <w:tblStylePr w:type="band1Horz">
      <w:rPr>
        <w:rFonts w:cs="Times New Roman"/>
      </w:rPr>
      <w:tcPr>
        <w:tcBorders>
          <w:top w:val="single" w:color="F79646" w:sz="8" w:space="0"/>
          <w:left w:val="single" w:color="F79646" w:sz="8" w:space="0"/>
          <w:bottom w:val="single" w:color="F79646" w:sz="8" w:space="0"/>
          <w:right w:val="single" w:color="F79646" w:sz="8" w:space="0"/>
          <w:insideH w:val="nil"/>
          <w:insideV w:val="nil"/>
          <w:tl2br w:val="nil"/>
          <w:tr2bl w:val="nil"/>
        </w:tcBorders>
      </w:tcPr>
    </w:tblStylePr>
  </w:style>
  <w:style w:type="table" w:customStyle="1" w:styleId="85">
    <w:name w:val="Light List - Accent 2"/>
    <w:basedOn w:val="16"/>
    <w:qFormat/>
    <w:uiPriority w:val="61"/>
    <w:tblPr>
      <w:tblBorders>
        <w:top w:val="single" w:color="C0504D" w:sz="8" w:space="0"/>
        <w:left w:val="single" w:color="C0504D" w:sz="8" w:space="0"/>
        <w:bottom w:val="single" w:color="C0504D" w:sz="8" w:space="0"/>
        <w:right w:val="single" w:color="C0504D" w:sz="8" w:space="0"/>
      </w:tblBorders>
      <w:tblCellMar>
        <w:top w:w="0" w:type="dxa"/>
        <w:left w:w="108" w:type="dxa"/>
        <w:bottom w:w="0" w:type="dxa"/>
        <w:right w:w="108" w:type="dxa"/>
      </w:tblCellMar>
    </w:tblPr>
    <w:tblStylePr w:type="firstRow">
      <w:pPr>
        <w:spacing w:before="0" w:after="0"/>
      </w:pPr>
      <w:rPr>
        <w:rFonts w:cs="Times New Roman"/>
        <w:b/>
        <w:bCs/>
        <w:color w:val="FFFFFF"/>
      </w:rPr>
      <w:tcPr>
        <w:shd w:val="clear" w:color="auto" w:fill="C0504D"/>
      </w:tcPr>
    </w:tblStylePr>
    <w:tblStylePr w:type="lastRow">
      <w:pPr>
        <w:spacing w:before="0" w:after="0"/>
      </w:pPr>
      <w:rPr>
        <w:rFonts w:cs="Times New Roman"/>
        <w:b/>
        <w:bCs/>
      </w:rPr>
      <w:tcPr>
        <w:tcBorders>
          <w:top w:val="double" w:color="C0504D" w:sz="6" w:space="0"/>
          <w:left w:val="single" w:color="C0504D" w:sz="8" w:space="0"/>
          <w:bottom w:val="single" w:color="C0504D" w:sz="8" w:space="0"/>
          <w:right w:val="single" w:color="C0504D"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C0504D" w:sz="8" w:space="0"/>
          <w:left w:val="single" w:color="C0504D" w:sz="8" w:space="0"/>
          <w:bottom w:val="single" w:color="C0504D" w:sz="8" w:space="0"/>
          <w:right w:val="single" w:color="C0504D" w:sz="8" w:space="0"/>
          <w:insideH w:val="nil"/>
          <w:insideV w:val="nil"/>
          <w:tl2br w:val="nil"/>
          <w:tr2bl w:val="nil"/>
        </w:tcBorders>
      </w:tcPr>
    </w:tblStylePr>
    <w:tblStylePr w:type="band1Horz">
      <w:rPr>
        <w:rFonts w:cs="Times New Roman"/>
      </w:rPr>
      <w:tcPr>
        <w:tcBorders>
          <w:top w:val="single" w:color="C0504D" w:sz="8" w:space="0"/>
          <w:left w:val="single" w:color="C0504D" w:sz="8" w:space="0"/>
          <w:bottom w:val="single" w:color="C0504D" w:sz="8" w:space="0"/>
          <w:right w:val="single" w:color="C0504D" w:sz="8" w:space="0"/>
          <w:insideH w:val="nil"/>
          <w:insideV w:val="nil"/>
          <w:tl2br w:val="nil"/>
          <w:tr2bl w:val="nil"/>
        </w:tcBorders>
      </w:tcPr>
    </w:tblStylePr>
  </w:style>
  <w:style w:type="table" w:customStyle="1" w:styleId="86">
    <w:name w:val="浅色底纹 - 强调文字颜色 11"/>
    <w:basedOn w:val="16"/>
    <w:qFormat/>
    <w:uiPriority w:val="60"/>
    <w:rPr>
      <w:color w:val="365F91"/>
    </w:rPr>
    <w:tblPr>
      <w:tblBorders>
        <w:top w:val="single" w:color="4F81BD" w:sz="8" w:space="0"/>
        <w:bottom w:val="single" w:color="4F81BD" w:sz="8" w:space="0"/>
      </w:tblBorders>
      <w:tblCellMar>
        <w:top w:w="0" w:type="dxa"/>
        <w:left w:w="108" w:type="dxa"/>
        <w:bottom w:w="0" w:type="dxa"/>
        <w:right w:w="108" w:type="dxa"/>
      </w:tblCellMar>
    </w:tblPr>
    <w:tblStylePr w:type="firstRow">
      <w:pPr>
        <w:spacing w:before="0" w:after="0"/>
      </w:pPr>
      <w:rPr>
        <w:rFonts w:cs="Times New Roman"/>
        <w:b/>
        <w:bCs/>
      </w:rPr>
      <w:tcPr>
        <w:tcBorders>
          <w:top w:val="single" w:color="4F81BD" w:sz="8" w:space="0"/>
          <w:left w:val="nil"/>
          <w:bottom w:val="single" w:color="4F81BD" w:sz="8" w:space="0"/>
          <w:right w:val="nil"/>
          <w:insideH w:val="nil"/>
          <w:insideV w:val="nil"/>
          <w:tl2br w:val="nil"/>
          <w:tr2bl w:val="nil"/>
        </w:tcBorders>
      </w:tcPr>
    </w:tblStylePr>
    <w:tblStylePr w:type="lastRow">
      <w:pPr>
        <w:spacing w:before="0" w:after="0"/>
      </w:pPr>
      <w:rPr>
        <w:rFonts w:cs="Times New Roman"/>
        <w:b/>
        <w:bCs/>
      </w:rPr>
      <w:tcPr>
        <w:tcBorders>
          <w:top w:val="single" w:color="4F81BD" w:sz="8" w:space="0"/>
          <w:left w:val="nil"/>
          <w:bottom w:val="single" w:color="4F81BD" w:sz="8" w:space="0"/>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D3DFEE"/>
      </w:tcPr>
    </w:tblStylePr>
    <w:tblStylePr w:type="band1Horz">
      <w:rPr>
        <w:rFonts w:cs="Times New Roman"/>
      </w:rPr>
      <w:tcPr>
        <w:tcBorders>
          <w:top w:val="nil"/>
          <w:left w:val="nil"/>
          <w:bottom w:val="nil"/>
          <w:right w:val="nil"/>
          <w:insideH w:val="nil"/>
          <w:insideV w:val="nil"/>
          <w:tl2br w:val="nil"/>
          <w:tr2bl w:val="nil"/>
        </w:tcBorders>
        <w:shd w:val="clear" w:color="auto" w:fill="D3DFEE"/>
      </w:tcPr>
    </w:tblStylePr>
  </w:style>
  <w:style w:type="table" w:customStyle="1" w:styleId="87">
    <w:name w:val="Medium List 1 - Accent 2"/>
    <w:basedOn w:val="16"/>
    <w:qFormat/>
    <w:uiPriority w:val="65"/>
    <w:rPr>
      <w:color w:val="000000"/>
    </w:rPr>
    <w:tblPr>
      <w:tblBorders>
        <w:top w:val="single" w:color="C0504D" w:sz="8" w:space="0"/>
        <w:bottom w:val="single" w:color="C0504D" w:sz="8" w:space="0"/>
      </w:tblBorders>
      <w:tblCellMar>
        <w:top w:w="0" w:type="dxa"/>
        <w:left w:w="108" w:type="dxa"/>
        <w:bottom w:w="0" w:type="dxa"/>
        <w:right w:w="108" w:type="dxa"/>
      </w:tblCellMar>
    </w:tblPr>
    <w:tblStylePr w:type="firstRow">
      <w:rPr>
        <w:rFonts w:ascii="Helvetica" w:hAnsi="Helvetica" w:eastAsia="Times New Roman" w:cs="Times New Roman"/>
      </w:rPr>
      <w:tcPr>
        <w:tcBorders>
          <w:top w:val="nil"/>
          <w:left w:val="single" w:color="C0504D" w:sz="8" w:space="0"/>
          <w:bottom w:val="nil"/>
          <w:right w:val="nil"/>
          <w:insideH w:val="nil"/>
          <w:insideV w:val="nil"/>
          <w:tl2br w:val="nil"/>
          <w:tr2bl w:val="nil"/>
        </w:tcBorders>
      </w:tcPr>
    </w:tblStylePr>
    <w:tblStylePr w:type="lastRow">
      <w:rPr>
        <w:rFonts w:cs="Times New Roman"/>
        <w:b/>
        <w:bCs/>
        <w:color w:val="1F497D"/>
      </w:rPr>
      <w:tcPr>
        <w:tcBorders>
          <w:top w:val="single" w:color="C0504D" w:sz="8" w:space="0"/>
          <w:left w:val="single" w:color="C0504D" w:sz="8" w:space="0"/>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cPr>
        <w:tcBorders>
          <w:top w:val="single" w:color="C0504D" w:sz="8" w:space="0"/>
          <w:left w:val="single" w:color="C0504D" w:sz="8" w:space="0"/>
          <w:bottom w:val="nil"/>
          <w:right w:val="nil"/>
          <w:insideH w:val="nil"/>
          <w:insideV w:val="nil"/>
          <w:tl2br w:val="nil"/>
          <w:tr2bl w:val="nil"/>
        </w:tcBorders>
      </w:tcPr>
    </w:tblStylePr>
    <w:tblStylePr w:type="band1Vert">
      <w:rPr>
        <w:rFonts w:cs="Times New Roman"/>
      </w:rPr>
      <w:tcPr>
        <w:shd w:val="clear" w:color="auto" w:fill="EFD3D3"/>
      </w:tcPr>
    </w:tblStylePr>
    <w:tblStylePr w:type="band1Horz">
      <w:rPr>
        <w:rFonts w:cs="Times New Roman"/>
      </w:rPr>
      <w:tcPr>
        <w:shd w:val="clear" w:color="auto" w:fill="EFD3D3"/>
      </w:tcPr>
    </w:tblStylePr>
  </w:style>
  <w:style w:type="table" w:customStyle="1" w:styleId="88">
    <w:name w:val="Medium Shading 2 - Accent 2"/>
    <w:basedOn w:val="16"/>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pPr>
      <w:rPr>
        <w:rFonts w:cs="Times New Roman"/>
        <w:b/>
        <w:bCs/>
        <w:color w:val="FFFFFF"/>
      </w:rPr>
      <w:tcPr>
        <w:tcBorders>
          <w:top w:val="single" w:color="auto" w:sz="18" w:space="0"/>
          <w:left w:val="single" w:color="auto" w:sz="18" w:space="0"/>
          <w:bottom w:val="nil"/>
          <w:right w:val="nil"/>
          <w:insideH w:val="nil"/>
          <w:insideV w:val="nil"/>
          <w:tl2br w:val="nil"/>
          <w:tr2bl w:val="nil"/>
        </w:tcBorders>
        <w:shd w:val="clear" w:color="auto" w:fill="C0504D"/>
      </w:tcPr>
    </w:tblStylePr>
    <w:tblStylePr w:type="lastRow">
      <w:pPr>
        <w:spacing w:before="0" w:after="0"/>
      </w:pPr>
      <w:rPr>
        <w:rFonts w:cs="Times New Roman"/>
        <w:color w:val="auto"/>
      </w:r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rFonts w:cs="Times New Roman"/>
        <w:b/>
        <w:bCs/>
        <w:color w:val="FFFFFF"/>
      </w:rPr>
      <w:tcPr>
        <w:tcBorders>
          <w:top w:val="nil"/>
          <w:left w:val="single" w:color="auto" w:sz="18" w:space="0"/>
          <w:bottom w:val="nil"/>
          <w:right w:val="nil"/>
          <w:insideH w:val="nil"/>
          <w:insideV w:val="nil"/>
          <w:tl2br w:val="nil"/>
          <w:tr2bl w:val="nil"/>
        </w:tcBorders>
        <w:shd w:val="clear" w:color="auto" w:fill="C0504D"/>
      </w:tcPr>
    </w:tblStylePr>
    <w:tblStylePr w:type="lastCol">
      <w:rPr>
        <w:rFonts w:cs="Times New Roman"/>
        <w:b/>
        <w:bCs/>
        <w:color w:val="FFFFFF"/>
      </w:rPr>
      <w:tcPr>
        <w:tcBorders>
          <w:top w:val="nil"/>
          <w:left w:val="nil"/>
          <w:bottom w:val="nil"/>
          <w:right w:val="nil"/>
          <w:insideH w:val="nil"/>
          <w:insideV w:val="nil"/>
          <w:tl2br w:val="nil"/>
          <w:tr2bl w:val="nil"/>
        </w:tcBorders>
        <w:shd w:val="clear" w:color="auto" w:fill="C0504D"/>
      </w:tcPr>
    </w:tblStylePr>
    <w:tblStylePr w:type="band1Vert">
      <w:rPr>
        <w:rFonts w:cs="Times New Roman"/>
      </w:rPr>
      <w:tcPr>
        <w:tcBorders>
          <w:top w:val="nil"/>
          <w:left w:val="nil"/>
          <w:bottom w:val="nil"/>
          <w:right w:val="nil"/>
          <w:insideH w:val="nil"/>
          <w:insideV w:val="nil"/>
          <w:tl2br w:val="nil"/>
          <w:tr2bl w:val="nil"/>
        </w:tcBorders>
        <w:shd w:val="clear" w:color="auto" w:fill="D7D7D7"/>
      </w:tcPr>
    </w:tblStylePr>
    <w:tblStylePr w:type="band1Horz">
      <w:rPr>
        <w:rFonts w:cs="Times New Roman"/>
      </w:rPr>
      <w:tcPr>
        <w:shd w:val="clear" w:color="auto" w:fill="D7D7D7"/>
      </w:tcPr>
    </w:tblStylePr>
    <w:tblStylePr w:type="neCell">
      <w:rPr>
        <w:rFonts w:cs="Times New Roman"/>
      </w:rPr>
      <w:tcPr>
        <w:tcBorders>
          <w:top w:val="single" w:color="auto" w:sz="18" w:space="0"/>
          <w:left w:val="single" w:color="auto" w:sz="18" w:space="0"/>
          <w:bottom w:val="nil"/>
          <w:right w:val="nil"/>
          <w:insideH w:val="nil"/>
          <w:insideV w:val="nil"/>
          <w:tl2br w:val="nil"/>
          <w:tr2bl w:val="nil"/>
        </w:tcBorders>
      </w:tcPr>
    </w:tblStylePr>
    <w:tblStylePr w:type="nwCell">
      <w:rPr>
        <w:rFonts w:cs="Times New Roman"/>
        <w:color w:val="FFFFFF"/>
      </w:rPr>
      <w:tcPr>
        <w:tcBorders>
          <w:top w:val="single" w:color="auto" w:sz="18" w:space="0"/>
          <w:left w:val="single" w:color="auto" w:sz="18" w:space="0"/>
          <w:bottom w:val="nil"/>
          <w:right w:val="nil"/>
          <w:insideH w:val="nil"/>
          <w:insideV w:val="nil"/>
          <w:tl2br w:val="nil"/>
          <w:tr2bl w:val="nil"/>
        </w:tcBorders>
      </w:tcPr>
    </w:tblStylePr>
  </w:style>
  <w:style w:type="table" w:customStyle="1" w:styleId="89">
    <w:name w:val="Light Grid - Accent 5"/>
    <w:basedOn w:val="16"/>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CellMar>
        <w:top w:w="0" w:type="dxa"/>
        <w:left w:w="108" w:type="dxa"/>
        <w:bottom w:w="0" w:type="dxa"/>
        <w:right w:w="108" w:type="dxa"/>
      </w:tblCellMar>
    </w:tblPr>
    <w:tblStylePr w:type="firstRow">
      <w:pPr>
        <w:spacing w:before="0" w:after="0"/>
      </w:pPr>
      <w:rPr>
        <w:rFonts w:ascii="Helvetica" w:hAnsi="Helvetica" w:eastAsia="Times New Roman" w:cs="Times New Roman"/>
        <w:b/>
        <w:bCs/>
      </w:rPr>
      <w:tcPr>
        <w:tcBorders>
          <w:top w:val="single" w:color="4BACC6" w:sz="8" w:space="0"/>
          <w:left w:val="single" w:color="4BACC6" w:sz="18" w:space="0"/>
          <w:bottom w:val="single" w:color="4BACC6" w:sz="8" w:space="0"/>
          <w:right w:val="single" w:color="4BACC6" w:sz="8" w:space="0"/>
          <w:insideH w:val="nil"/>
          <w:insideV w:val="single" w:sz="8" w:space="0"/>
          <w:tl2br w:val="nil"/>
          <w:tr2bl w:val="nil"/>
        </w:tcBorders>
      </w:tcPr>
    </w:tblStylePr>
    <w:tblStylePr w:type="lastRow">
      <w:pPr>
        <w:spacing w:before="0" w:after="0"/>
      </w:pPr>
      <w:rPr>
        <w:rFonts w:ascii="Helvetica" w:hAnsi="Helvetica" w:eastAsia="Times New Roman" w:cs="Times New Roman"/>
        <w:b/>
        <w:bCs/>
      </w:rPr>
      <w:tcPr>
        <w:tcBorders>
          <w:top w:val="double" w:color="4BACC6" w:sz="6" w:space="0"/>
          <w:left w:val="single" w:color="4BACC6" w:sz="8" w:space="0"/>
          <w:bottom w:val="single" w:color="4BACC6" w:sz="8" w:space="0"/>
          <w:right w:val="single" w:color="4BACC6" w:sz="8" w:space="0"/>
          <w:insideH w:val="nil"/>
          <w:insideV w:val="single" w:sz="8" w:space="0"/>
          <w:tl2br w:val="nil"/>
          <w:tr2bl w:val="nil"/>
        </w:tcBorders>
      </w:tcPr>
    </w:tblStylePr>
    <w:tblStylePr w:type="firstCol">
      <w:rPr>
        <w:rFonts w:ascii="Helvetica" w:hAnsi="Helvetica" w:eastAsia="Times New Roman" w:cs="Times New Roman"/>
        <w:b/>
        <w:bCs/>
      </w:rPr>
    </w:tblStylePr>
    <w:tblStylePr w:type="lastCol">
      <w:rPr>
        <w:rFonts w:ascii="Helvetica" w:hAnsi="Helvetica" w:eastAsia="Times New Roman"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rPr>
        <w:rFonts w:cs="Times New Roman"/>
      </w:rPr>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0"/>
      </w:tcPr>
    </w:tblStylePr>
    <w:tblStylePr w:type="band1Horz">
      <w:rPr>
        <w:rFonts w:cs="Times New Roman"/>
      </w:rPr>
      <w:tcPr>
        <w:tcBorders>
          <w:top w:val="single" w:color="4BACC6" w:sz="8" w:space="0"/>
          <w:left w:val="single" w:color="4BACC6" w:sz="8" w:space="0"/>
          <w:bottom w:val="single" w:color="4BACC6" w:sz="8" w:space="0"/>
          <w:right w:val="single" w:color="4BACC6" w:sz="8" w:space="0"/>
          <w:insideH w:val="nil"/>
          <w:insideV w:val="single" w:sz="8" w:space="0"/>
          <w:tl2br w:val="nil"/>
          <w:tr2bl w:val="nil"/>
        </w:tcBorders>
        <w:shd w:val="clear" w:color="auto" w:fill="D2EAF0"/>
      </w:tcPr>
    </w:tblStylePr>
    <w:tblStylePr w:type="band2Horz">
      <w:rPr>
        <w:rFonts w:cs="Times New Roman"/>
      </w:rPr>
      <w:tcPr>
        <w:tcBorders>
          <w:top w:val="single" w:color="4BACC6" w:sz="8" w:space="0"/>
          <w:left w:val="single" w:color="4BACC6" w:sz="8" w:space="0"/>
          <w:bottom w:val="single" w:color="4BACC6" w:sz="8" w:space="0"/>
          <w:right w:val="single" w:color="4BACC6" w:sz="8" w:space="0"/>
          <w:insideH w:val="nil"/>
          <w:insideV w:val="single" w:sz="8" w:space="0"/>
          <w:tl2br w:val="nil"/>
          <w:tr2bl w:val="nil"/>
        </w:tcBorders>
      </w:tcPr>
    </w:tblStylePr>
  </w:style>
  <w:style w:type="table" w:customStyle="1" w:styleId="90">
    <w:name w:val="Light List - Accent 5"/>
    <w:basedOn w:val="16"/>
    <w:qFormat/>
    <w:uiPriority w:val="61"/>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tblStylePr w:type="firstRow">
      <w:pPr>
        <w:spacing w:before="0" w:after="0"/>
      </w:pPr>
      <w:rPr>
        <w:rFonts w:cs="Times New Roman"/>
        <w:b/>
        <w:bCs/>
        <w:color w:val="FFFFFF"/>
      </w:rPr>
      <w:tcPr>
        <w:shd w:val="clear" w:color="auto" w:fill="4BACC6"/>
      </w:tcPr>
    </w:tblStylePr>
    <w:tblStylePr w:type="lastRow">
      <w:pPr>
        <w:spacing w:before="0" w:after="0"/>
      </w:pPr>
      <w:rPr>
        <w:rFonts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rPr>
        <w:rFonts w:cs="Times New Roman"/>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91">
    <w:name w:val="Light Shading - Accent 3"/>
    <w:basedOn w:val="16"/>
    <w:qFormat/>
    <w:uiPriority w:val="60"/>
    <w:rPr>
      <w:color w:val="76923C"/>
    </w:rPr>
    <w:tblPr>
      <w:tblBorders>
        <w:top w:val="single" w:color="9BBB59" w:sz="8" w:space="0"/>
        <w:bottom w:val="single" w:color="9BBB59" w:sz="8" w:space="0"/>
      </w:tblBorders>
      <w:tblCellMar>
        <w:top w:w="0" w:type="dxa"/>
        <w:left w:w="108" w:type="dxa"/>
        <w:bottom w:w="0" w:type="dxa"/>
        <w:right w:w="108" w:type="dxa"/>
      </w:tblCellMar>
    </w:tblPr>
    <w:tblStylePr w:type="firstRow">
      <w:pPr>
        <w:spacing w:before="0" w:after="0"/>
      </w:pPr>
      <w:rPr>
        <w:rFonts w:cs="Times New Roman"/>
        <w:b/>
        <w:bCs/>
      </w:rPr>
      <w:tcPr>
        <w:tcBorders>
          <w:top w:val="single" w:color="9BBB59" w:sz="8" w:space="0"/>
          <w:left w:val="single" w:color="9BBB59" w:sz="8" w:space="0"/>
          <w:bottom w:val="nil"/>
          <w:right w:val="nil"/>
          <w:insideH w:val="nil"/>
          <w:insideV w:val="nil"/>
          <w:tl2br w:val="nil"/>
          <w:tr2bl w:val="nil"/>
        </w:tcBorders>
      </w:tcPr>
    </w:tblStylePr>
    <w:tblStylePr w:type="lastRow">
      <w:pPr>
        <w:spacing w:before="0" w:after="0"/>
      </w:pPr>
      <w:rPr>
        <w:rFonts w:cs="Times New Roman"/>
        <w:b/>
        <w:bCs/>
      </w:rPr>
      <w:tcPr>
        <w:tcBorders>
          <w:top w:val="single" w:color="9BBB59" w:sz="8" w:space="0"/>
          <w:left w:val="single" w:color="9BBB59" w:sz="8" w:space="0"/>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E6EED5"/>
      </w:tcPr>
    </w:tblStylePr>
    <w:tblStylePr w:type="band1Horz">
      <w:rPr>
        <w:rFonts w:cs="Times New Roman"/>
      </w:rPr>
      <w:tcPr>
        <w:tcBorders>
          <w:top w:val="nil"/>
          <w:left w:val="nil"/>
          <w:bottom w:val="nil"/>
          <w:right w:val="nil"/>
          <w:insideH w:val="nil"/>
          <w:insideV w:val="nil"/>
          <w:tl2br w:val="nil"/>
          <w:tr2bl w:val="nil"/>
        </w:tcBorders>
        <w:shd w:val="clear" w:color="auto" w:fill="E6EED5"/>
      </w:tcPr>
    </w:tblStylePr>
  </w:style>
  <w:style w:type="table" w:customStyle="1" w:styleId="92">
    <w:name w:val="Medium Shading 2 - Accent 6"/>
    <w:basedOn w:val="16"/>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pPr>
      <w:rPr>
        <w:rFonts w:cs="Times New Roman"/>
        <w:b/>
        <w:bCs/>
        <w:color w:val="FFFFFF"/>
      </w:rPr>
      <w:tcPr>
        <w:tcBorders>
          <w:top w:val="single" w:color="auto" w:sz="18" w:space="0"/>
          <w:left w:val="single" w:color="auto" w:sz="18" w:space="0"/>
          <w:bottom w:val="nil"/>
          <w:right w:val="nil"/>
          <w:insideH w:val="nil"/>
          <w:insideV w:val="nil"/>
          <w:tl2br w:val="nil"/>
          <w:tr2bl w:val="nil"/>
        </w:tcBorders>
        <w:shd w:val="clear" w:color="auto" w:fill="F79646"/>
      </w:tcPr>
    </w:tblStylePr>
    <w:tblStylePr w:type="lastRow">
      <w:pPr>
        <w:spacing w:before="0" w:after="0"/>
      </w:pPr>
      <w:rPr>
        <w:rFonts w:cs="Times New Roman"/>
        <w:color w:val="auto"/>
      </w:r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rFonts w:cs="Times New Roman"/>
        <w:b/>
        <w:bCs/>
        <w:color w:val="FFFFFF"/>
      </w:rPr>
      <w:tcPr>
        <w:tcBorders>
          <w:top w:val="nil"/>
          <w:left w:val="single" w:color="auto" w:sz="18" w:space="0"/>
          <w:bottom w:val="nil"/>
          <w:right w:val="nil"/>
          <w:insideH w:val="nil"/>
          <w:insideV w:val="nil"/>
          <w:tl2br w:val="nil"/>
          <w:tr2bl w:val="nil"/>
        </w:tcBorders>
        <w:shd w:val="clear" w:color="auto" w:fill="F79646"/>
      </w:tcPr>
    </w:tblStylePr>
    <w:tblStylePr w:type="lastCol">
      <w:rPr>
        <w:rFonts w:cs="Times New Roman"/>
        <w:b/>
        <w:bCs/>
        <w:color w:val="FFFFFF"/>
      </w:rPr>
      <w:tcPr>
        <w:tcBorders>
          <w:top w:val="nil"/>
          <w:left w:val="nil"/>
          <w:bottom w:val="nil"/>
          <w:right w:val="nil"/>
          <w:insideH w:val="nil"/>
          <w:insideV w:val="nil"/>
          <w:tl2br w:val="nil"/>
          <w:tr2bl w:val="nil"/>
        </w:tcBorders>
        <w:shd w:val="clear" w:color="auto" w:fill="F79646"/>
      </w:tcPr>
    </w:tblStylePr>
    <w:tblStylePr w:type="band1Vert">
      <w:rPr>
        <w:rFonts w:cs="Times New Roman"/>
      </w:rPr>
      <w:tcPr>
        <w:tcBorders>
          <w:top w:val="nil"/>
          <w:left w:val="nil"/>
          <w:bottom w:val="nil"/>
          <w:right w:val="nil"/>
          <w:insideH w:val="nil"/>
          <w:insideV w:val="nil"/>
          <w:tl2br w:val="nil"/>
          <w:tr2bl w:val="nil"/>
        </w:tcBorders>
        <w:shd w:val="clear" w:color="auto" w:fill="D7D7D7"/>
      </w:tcPr>
    </w:tblStylePr>
    <w:tblStylePr w:type="band1Horz">
      <w:rPr>
        <w:rFonts w:cs="Times New Roman"/>
      </w:rPr>
      <w:tcPr>
        <w:shd w:val="clear" w:color="auto" w:fill="D7D7D7"/>
      </w:tcPr>
    </w:tblStylePr>
    <w:tblStylePr w:type="neCell">
      <w:rPr>
        <w:rFonts w:cs="Times New Roman"/>
      </w:rPr>
      <w:tcPr>
        <w:tcBorders>
          <w:top w:val="single" w:color="auto" w:sz="18" w:space="0"/>
          <w:left w:val="single" w:color="auto" w:sz="18" w:space="0"/>
          <w:bottom w:val="nil"/>
          <w:right w:val="nil"/>
          <w:insideH w:val="nil"/>
          <w:insideV w:val="nil"/>
          <w:tl2br w:val="nil"/>
          <w:tr2bl w:val="nil"/>
        </w:tcBorders>
      </w:tcPr>
    </w:tblStylePr>
    <w:tblStylePr w:type="nwCell">
      <w:rPr>
        <w:rFonts w:cs="Times New Roman"/>
        <w:color w:val="FFFFFF"/>
      </w:rPr>
      <w:tcPr>
        <w:tcBorders>
          <w:top w:val="single" w:color="auto" w:sz="18" w:space="0"/>
          <w:left w:val="single" w:color="auto" w:sz="18" w:space="0"/>
          <w:bottom w:val="nil"/>
          <w:right w:val="nil"/>
          <w:insideH w:val="nil"/>
          <w:insideV w:val="nil"/>
          <w:tl2br w:val="nil"/>
          <w:tr2bl w:val="nil"/>
        </w:tcBorders>
      </w:tcPr>
    </w:tblStylePr>
  </w:style>
  <w:style w:type="table" w:customStyle="1" w:styleId="93">
    <w:name w:val="Medium Shading 1 - Accent 6"/>
    <w:basedOn w:val="16"/>
    <w:qFormat/>
    <w:uiPriority w:val="63"/>
    <w:tblPr>
      <w:tblBorders>
        <w:top w:val="single" w:color="F9B074" w:sz="8" w:space="0"/>
        <w:left w:val="single" w:color="F9B074" w:sz="8" w:space="0"/>
        <w:bottom w:val="single" w:color="F9B074" w:sz="8" w:space="0"/>
        <w:right w:val="single" w:color="F9B074" w:sz="8" w:space="0"/>
        <w:insideH w:val="single" w:color="F9B074" w:sz="8" w:space="0"/>
      </w:tblBorders>
      <w:tblCellMar>
        <w:top w:w="0" w:type="dxa"/>
        <w:left w:w="108" w:type="dxa"/>
        <w:bottom w:w="0" w:type="dxa"/>
        <w:right w:w="108" w:type="dxa"/>
      </w:tblCellMar>
    </w:tblPr>
    <w:tblStylePr w:type="firstRow">
      <w:pPr>
        <w:spacing w:before="0" w:after="0"/>
      </w:pPr>
      <w:rPr>
        <w:rFonts w:cs="Times New Roman"/>
        <w:b/>
        <w:bCs/>
        <w:color w:val="FFFFFF"/>
      </w:rPr>
      <w:tcPr>
        <w:tcBorders>
          <w:top w:val="single" w:color="F9B074" w:sz="8" w:space="0"/>
          <w:left w:val="single" w:color="F9B074" w:sz="8" w:space="0"/>
          <w:bottom w:val="single" w:color="F9B074" w:sz="8" w:space="0"/>
          <w:right w:val="single" w:color="F9B074" w:sz="8" w:space="0"/>
          <w:insideH w:val="nil"/>
          <w:insideV w:val="nil"/>
          <w:tl2br w:val="nil"/>
          <w:tr2bl w:val="nil"/>
        </w:tcBorders>
        <w:shd w:val="clear" w:color="auto" w:fill="F79646"/>
      </w:tcPr>
    </w:tblStylePr>
    <w:tblStylePr w:type="lastRow">
      <w:pPr>
        <w:spacing w:before="0" w:after="0"/>
      </w:pPr>
      <w:rPr>
        <w:rFonts w:cs="Times New Roman"/>
        <w:b/>
        <w:bCs/>
      </w:rPr>
      <w:tcPr>
        <w:tcBorders>
          <w:top w:val="double" w:color="F9B074" w:sz="6" w:space="0"/>
          <w:left w:val="single" w:color="F9B074" w:sz="8" w:space="0"/>
          <w:bottom w:val="single" w:color="F9B074" w:sz="8" w:space="0"/>
          <w:right w:val="single" w:color="F9B074"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FDE5D1"/>
      </w:tcPr>
    </w:tblStylePr>
    <w:tblStylePr w:type="band1Horz">
      <w:rPr>
        <w:rFonts w:cs="Times New Roman"/>
      </w:rPr>
      <w:tcPr>
        <w:shd w:val="clear" w:color="auto" w:fill="FDE5D1"/>
      </w:tcPr>
    </w:tblStylePr>
    <w:tblStylePr w:type="band2Horz">
      <w:rPr>
        <w:rFonts w:cs="Times New Roman"/>
      </w:rPr>
      <w:tcPr>
        <w:tcBorders>
          <w:top w:val="nil"/>
          <w:left w:val="nil"/>
          <w:bottom w:val="nil"/>
          <w:right w:val="nil"/>
          <w:insideH w:val="nil"/>
          <w:insideV w:val="nil"/>
          <w:tl2br w:val="nil"/>
          <w:tr2bl w:val="nil"/>
        </w:tcBorders>
      </w:tcPr>
    </w:tblStylePr>
  </w:style>
  <w:style w:type="table" w:customStyle="1" w:styleId="94">
    <w:name w:val="Light Grid - Accent 4"/>
    <w:basedOn w:val="16"/>
    <w:qFormat/>
    <w:uiPriority w:val="62"/>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CellMar>
        <w:top w:w="0" w:type="dxa"/>
        <w:left w:w="108" w:type="dxa"/>
        <w:bottom w:w="0" w:type="dxa"/>
        <w:right w:w="108" w:type="dxa"/>
      </w:tblCellMar>
    </w:tblPr>
    <w:tblStylePr w:type="firstRow">
      <w:pPr>
        <w:spacing w:before="0" w:after="0"/>
      </w:pPr>
      <w:rPr>
        <w:rFonts w:ascii="Helvetica" w:hAnsi="Helvetica" w:eastAsia="Times New Roman" w:cs="Times New Roman"/>
        <w:b/>
        <w:bCs/>
      </w:rPr>
      <w:tcPr>
        <w:tcBorders>
          <w:top w:val="single" w:color="8064A2" w:sz="8" w:space="0"/>
          <w:left w:val="single" w:color="8064A2" w:sz="18" w:space="0"/>
          <w:bottom w:val="single" w:color="8064A2" w:sz="8" w:space="0"/>
          <w:right w:val="single" w:color="8064A2" w:sz="8" w:space="0"/>
          <w:insideH w:val="nil"/>
          <w:insideV w:val="single" w:sz="8" w:space="0"/>
          <w:tl2br w:val="nil"/>
          <w:tr2bl w:val="nil"/>
        </w:tcBorders>
      </w:tcPr>
    </w:tblStylePr>
    <w:tblStylePr w:type="lastRow">
      <w:pPr>
        <w:spacing w:before="0" w:after="0"/>
      </w:pPr>
      <w:rPr>
        <w:rFonts w:ascii="Helvetica" w:hAnsi="Helvetica" w:eastAsia="Times New Roman" w:cs="Times New Roman"/>
        <w:b/>
        <w:bCs/>
      </w:rPr>
      <w:tcPr>
        <w:tcBorders>
          <w:top w:val="double" w:color="8064A2" w:sz="6" w:space="0"/>
          <w:left w:val="single" w:color="8064A2" w:sz="8" w:space="0"/>
          <w:bottom w:val="single" w:color="8064A2" w:sz="8" w:space="0"/>
          <w:right w:val="single" w:color="8064A2" w:sz="8" w:space="0"/>
          <w:insideH w:val="nil"/>
          <w:insideV w:val="single" w:sz="8" w:space="0"/>
          <w:tl2br w:val="nil"/>
          <w:tr2bl w:val="nil"/>
        </w:tcBorders>
      </w:tcPr>
    </w:tblStylePr>
    <w:tblStylePr w:type="firstCol">
      <w:rPr>
        <w:rFonts w:ascii="Helvetica" w:hAnsi="Helvetica" w:eastAsia="Times New Roman" w:cs="Times New Roman"/>
        <w:b/>
        <w:bCs/>
      </w:rPr>
    </w:tblStylePr>
    <w:tblStylePr w:type="lastCol">
      <w:rPr>
        <w:rFonts w:ascii="Helvetica" w:hAnsi="Helvetica" w:eastAsia="Times New Roman" w:cs="Times New Roman"/>
        <w:b/>
        <w:bCs/>
      </w:rPr>
      <w:tcPr>
        <w:tcBorders>
          <w:top w:val="single" w:color="8064A2" w:sz="8" w:space="0"/>
          <w:left w:val="single" w:color="8064A2" w:sz="8" w:space="0"/>
          <w:bottom w:val="single" w:color="8064A2" w:sz="8" w:space="0"/>
          <w:right w:val="single" w:color="8064A2" w:sz="8" w:space="0"/>
          <w:insideH w:val="nil"/>
          <w:insideV w:val="nil"/>
          <w:tl2br w:val="nil"/>
          <w:tr2bl w:val="nil"/>
        </w:tcBorders>
      </w:tcPr>
    </w:tblStylePr>
    <w:tblStylePr w:type="band1Vert">
      <w:rPr>
        <w:rFonts w:cs="Times New Roman"/>
      </w:rPr>
      <w:tcPr>
        <w:tcBorders>
          <w:top w:val="single" w:color="8064A2" w:sz="8" w:space="0"/>
          <w:left w:val="single" w:color="8064A2" w:sz="8" w:space="0"/>
          <w:bottom w:val="single" w:color="8064A2" w:sz="8" w:space="0"/>
          <w:right w:val="single" w:color="8064A2" w:sz="8" w:space="0"/>
          <w:insideH w:val="nil"/>
          <w:insideV w:val="nil"/>
          <w:tl2br w:val="nil"/>
          <w:tr2bl w:val="nil"/>
        </w:tcBorders>
        <w:shd w:val="clear" w:color="auto" w:fill="DFD8E8"/>
      </w:tcPr>
    </w:tblStylePr>
    <w:tblStylePr w:type="band1Horz">
      <w:rPr>
        <w:rFonts w:cs="Times New Roman"/>
      </w:rPr>
      <w:tcPr>
        <w:tcBorders>
          <w:top w:val="single" w:color="8064A2" w:sz="8" w:space="0"/>
          <w:left w:val="single" w:color="8064A2" w:sz="8" w:space="0"/>
          <w:bottom w:val="single" w:color="8064A2" w:sz="8" w:space="0"/>
          <w:right w:val="single" w:color="8064A2" w:sz="8" w:space="0"/>
          <w:insideH w:val="nil"/>
          <w:insideV w:val="single" w:sz="8" w:space="0"/>
          <w:tl2br w:val="nil"/>
          <w:tr2bl w:val="nil"/>
        </w:tcBorders>
        <w:shd w:val="clear" w:color="auto" w:fill="DFD8E8"/>
      </w:tcPr>
    </w:tblStylePr>
    <w:tblStylePr w:type="band2Horz">
      <w:rPr>
        <w:rFonts w:cs="Times New Roman"/>
      </w:rPr>
      <w:tcPr>
        <w:tcBorders>
          <w:top w:val="single" w:color="8064A2" w:sz="8" w:space="0"/>
          <w:left w:val="single" w:color="8064A2" w:sz="8" w:space="0"/>
          <w:bottom w:val="single" w:color="8064A2" w:sz="8" w:space="0"/>
          <w:right w:val="single" w:color="8064A2" w:sz="8" w:space="0"/>
          <w:insideH w:val="nil"/>
          <w:insideV w:val="single" w:sz="8" w:space="0"/>
          <w:tl2br w:val="nil"/>
          <w:tr2bl w:val="nil"/>
        </w:tcBorders>
      </w:tcPr>
    </w:tblStylePr>
  </w:style>
  <w:style w:type="table" w:customStyle="1" w:styleId="95">
    <w:name w:val="Light List - Accent 4"/>
    <w:basedOn w:val="16"/>
    <w:qFormat/>
    <w:uiPriority w:val="61"/>
    <w:tblPr>
      <w:tblBorders>
        <w:top w:val="single" w:color="8064A2" w:sz="8" w:space="0"/>
        <w:left w:val="single" w:color="8064A2" w:sz="8" w:space="0"/>
        <w:bottom w:val="single" w:color="8064A2" w:sz="8" w:space="0"/>
        <w:right w:val="single" w:color="8064A2" w:sz="8" w:space="0"/>
      </w:tblBorders>
      <w:tblCellMar>
        <w:top w:w="0" w:type="dxa"/>
        <w:left w:w="108" w:type="dxa"/>
        <w:bottom w:w="0" w:type="dxa"/>
        <w:right w:w="108" w:type="dxa"/>
      </w:tblCellMar>
    </w:tblPr>
    <w:tblStylePr w:type="firstRow">
      <w:pPr>
        <w:spacing w:before="0" w:after="0"/>
      </w:pPr>
      <w:rPr>
        <w:rFonts w:cs="Times New Roman"/>
        <w:b/>
        <w:bCs/>
        <w:color w:val="FFFFFF"/>
      </w:rPr>
      <w:tcPr>
        <w:shd w:val="clear" w:color="auto" w:fill="8064A2"/>
      </w:tcPr>
    </w:tblStylePr>
    <w:tblStylePr w:type="lastRow">
      <w:pPr>
        <w:spacing w:before="0" w:after="0"/>
      </w:pPr>
      <w:rPr>
        <w:rFonts w:cs="Times New Roman"/>
        <w:b/>
        <w:bCs/>
      </w:rPr>
      <w:tcPr>
        <w:tcBorders>
          <w:top w:val="double" w:color="8064A2" w:sz="6" w:space="0"/>
          <w:left w:val="single" w:color="8064A2" w:sz="8" w:space="0"/>
          <w:bottom w:val="single" w:color="8064A2" w:sz="8" w:space="0"/>
          <w:right w:val="single" w:color="8064A2"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8064A2" w:sz="8" w:space="0"/>
          <w:left w:val="single" w:color="8064A2" w:sz="8" w:space="0"/>
          <w:bottom w:val="single" w:color="8064A2" w:sz="8" w:space="0"/>
          <w:right w:val="single" w:color="8064A2" w:sz="8" w:space="0"/>
          <w:insideH w:val="nil"/>
          <w:insideV w:val="nil"/>
          <w:tl2br w:val="nil"/>
          <w:tr2bl w:val="nil"/>
        </w:tcBorders>
      </w:tcPr>
    </w:tblStylePr>
    <w:tblStylePr w:type="band1Horz">
      <w:rPr>
        <w:rFonts w:cs="Times New Roman"/>
      </w:rPr>
      <w:tcPr>
        <w:tcBorders>
          <w:top w:val="single" w:color="8064A2" w:sz="8" w:space="0"/>
          <w:left w:val="single" w:color="8064A2" w:sz="8" w:space="0"/>
          <w:bottom w:val="single" w:color="8064A2" w:sz="8" w:space="0"/>
          <w:right w:val="single" w:color="8064A2" w:sz="8" w:space="0"/>
          <w:insideH w:val="nil"/>
          <w:insideV w:val="nil"/>
          <w:tl2br w:val="nil"/>
          <w:tr2bl w:val="nil"/>
        </w:tcBorders>
      </w:tcPr>
    </w:tblStylePr>
  </w:style>
  <w:style w:type="table" w:customStyle="1" w:styleId="96">
    <w:name w:val="Light Shading - Accent 5"/>
    <w:basedOn w:val="16"/>
    <w:qFormat/>
    <w:uiPriority w:val="60"/>
    <w:rPr>
      <w:color w:val="31849B"/>
    </w:rPr>
    <w:tblPr>
      <w:tblBorders>
        <w:top w:val="single" w:color="4BACC6" w:sz="8" w:space="0"/>
        <w:bottom w:val="single" w:color="4BACC6" w:sz="8" w:space="0"/>
      </w:tblBorders>
      <w:tblCellMar>
        <w:top w:w="0" w:type="dxa"/>
        <w:left w:w="108" w:type="dxa"/>
        <w:bottom w:w="0" w:type="dxa"/>
        <w:right w:w="108" w:type="dxa"/>
      </w:tblCellMar>
    </w:tblPr>
    <w:tblStylePr w:type="firstRow">
      <w:pPr>
        <w:spacing w:before="0" w:after="0"/>
      </w:pPr>
      <w:rPr>
        <w:rFonts w:cs="Times New Roman"/>
        <w:b/>
        <w:bCs/>
      </w:rPr>
      <w:tcPr>
        <w:tcBorders>
          <w:top w:val="single" w:color="4BACC6" w:sz="8" w:space="0"/>
          <w:left w:val="single" w:color="4BACC6" w:sz="8" w:space="0"/>
          <w:bottom w:val="nil"/>
          <w:right w:val="nil"/>
          <w:insideH w:val="nil"/>
          <w:insideV w:val="nil"/>
          <w:tl2br w:val="nil"/>
          <w:tr2bl w:val="nil"/>
        </w:tcBorders>
      </w:tcPr>
    </w:tblStylePr>
    <w:tblStylePr w:type="lastRow">
      <w:pPr>
        <w:spacing w:before="0" w:after="0"/>
      </w:pPr>
      <w:rPr>
        <w:rFonts w:cs="Times New Roman"/>
        <w:b/>
        <w:bCs/>
      </w:rPr>
      <w:tcPr>
        <w:tcBorders>
          <w:top w:val="single" w:color="4BACC6" w:sz="8" w:space="0"/>
          <w:left w:val="single" w:color="4BACC6" w:sz="8" w:space="0"/>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D2EAF0"/>
      </w:tcPr>
    </w:tblStylePr>
    <w:tblStylePr w:type="band1Horz">
      <w:rPr>
        <w:rFonts w:cs="Times New Roman"/>
      </w:rPr>
      <w:tcPr>
        <w:tcBorders>
          <w:top w:val="nil"/>
          <w:left w:val="nil"/>
          <w:bottom w:val="nil"/>
          <w:right w:val="nil"/>
          <w:insideH w:val="nil"/>
          <w:insideV w:val="nil"/>
          <w:tl2br w:val="nil"/>
          <w:tr2bl w:val="nil"/>
        </w:tcBorders>
        <w:shd w:val="clear" w:color="auto" w:fill="D2EAF0"/>
      </w:tcPr>
    </w:tblStylePr>
  </w:style>
  <w:style w:type="table" w:customStyle="1" w:styleId="97">
    <w:name w:val="Medium Shading 2 - Accent 5"/>
    <w:basedOn w:val="16"/>
    <w:qFormat/>
    <w:uiPriority w:val="64"/>
    <w:rPr>
      <w:sz w:val="22"/>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pPr>
      <w:rPr>
        <w:rFonts w:cs="Times New Roman"/>
        <w:b/>
        <w:bCs/>
        <w:color w:val="FFFFFF"/>
      </w:rPr>
      <w:tcPr>
        <w:tcBorders>
          <w:top w:val="single" w:color="auto" w:sz="18" w:space="0"/>
          <w:left w:val="single" w:color="auto" w:sz="18" w:space="0"/>
          <w:bottom w:val="nil"/>
          <w:right w:val="nil"/>
          <w:insideH w:val="nil"/>
          <w:insideV w:val="nil"/>
          <w:tl2br w:val="nil"/>
          <w:tr2bl w:val="nil"/>
        </w:tcBorders>
        <w:shd w:val="clear" w:color="auto" w:fill="4BACC6"/>
      </w:tcPr>
    </w:tblStylePr>
    <w:tblStylePr w:type="lastRow">
      <w:pPr>
        <w:spacing w:before="0" w:after="0"/>
      </w:pPr>
      <w:rPr>
        <w:rFonts w:cs="Times New Roman"/>
        <w:color w:val="auto"/>
      </w:r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rFonts w:cs="Times New Roman"/>
        <w:b/>
        <w:bCs/>
        <w:color w:val="FFFFFF"/>
      </w:rPr>
      <w:tcPr>
        <w:tcBorders>
          <w:top w:val="nil"/>
          <w:left w:val="single" w:color="auto" w:sz="18" w:space="0"/>
          <w:bottom w:val="nil"/>
          <w:right w:val="nil"/>
          <w:insideH w:val="nil"/>
          <w:insideV w:val="nil"/>
          <w:tl2br w:val="nil"/>
          <w:tr2bl w:val="nil"/>
        </w:tcBorders>
        <w:shd w:val="clear" w:color="auto" w:fill="4BACC6"/>
      </w:tcPr>
    </w:tblStylePr>
    <w:tblStylePr w:type="lastCol">
      <w:rPr>
        <w:rFonts w:cs="Times New Roman"/>
        <w:b/>
        <w:bCs/>
        <w:color w:val="FFFFFF"/>
      </w:rPr>
      <w:tcPr>
        <w:tcBorders>
          <w:top w:val="nil"/>
          <w:left w:val="nil"/>
          <w:bottom w:val="nil"/>
          <w:right w:val="nil"/>
          <w:insideH w:val="nil"/>
          <w:insideV w:val="nil"/>
          <w:tl2br w:val="nil"/>
          <w:tr2bl w:val="nil"/>
        </w:tcBorders>
        <w:shd w:val="clear" w:color="auto" w:fill="4BACC6"/>
      </w:tcPr>
    </w:tblStylePr>
    <w:tblStylePr w:type="band1Vert">
      <w:rPr>
        <w:rFonts w:cs="Times New Roman"/>
      </w:rPr>
      <w:tcPr>
        <w:tcBorders>
          <w:top w:val="nil"/>
          <w:left w:val="nil"/>
          <w:bottom w:val="nil"/>
          <w:right w:val="nil"/>
          <w:insideH w:val="nil"/>
          <w:insideV w:val="nil"/>
          <w:tl2br w:val="nil"/>
          <w:tr2bl w:val="nil"/>
        </w:tcBorders>
        <w:shd w:val="clear" w:color="auto" w:fill="D7D7D7"/>
      </w:tcPr>
    </w:tblStylePr>
    <w:tblStylePr w:type="band1Horz">
      <w:rPr>
        <w:rFonts w:cs="Times New Roman"/>
      </w:rPr>
      <w:tcPr>
        <w:shd w:val="clear" w:color="auto" w:fill="D7D7D7"/>
      </w:tcPr>
    </w:tblStylePr>
    <w:tblStylePr w:type="neCell">
      <w:rPr>
        <w:rFonts w:cs="Times New Roman"/>
      </w:rPr>
      <w:tcPr>
        <w:tcBorders>
          <w:top w:val="single" w:color="auto" w:sz="18" w:space="0"/>
          <w:left w:val="single" w:color="auto" w:sz="18" w:space="0"/>
          <w:bottom w:val="nil"/>
          <w:right w:val="nil"/>
          <w:insideH w:val="nil"/>
          <w:insideV w:val="nil"/>
          <w:tl2br w:val="nil"/>
          <w:tr2bl w:val="nil"/>
        </w:tcBorders>
      </w:tcPr>
    </w:tblStylePr>
    <w:tblStylePr w:type="nwCell">
      <w:rPr>
        <w:rFonts w:cs="Times New Roman"/>
        <w:color w:val="FFFFFF"/>
      </w:rPr>
      <w:tcPr>
        <w:tcBorders>
          <w:top w:val="single" w:color="auto" w:sz="18" w:space="0"/>
          <w:left w:val="single" w:color="auto" w:sz="18" w:space="0"/>
          <w:bottom w:val="nil"/>
          <w:right w:val="nil"/>
          <w:insideH w:val="nil"/>
          <w:insideV w:val="nil"/>
          <w:tl2br w:val="nil"/>
          <w:tr2bl w:val="nil"/>
        </w:tcBorders>
      </w:tcPr>
    </w:tblStylePr>
  </w:style>
  <w:style w:type="table" w:customStyle="1" w:styleId="98">
    <w:name w:val="Medium Shading 1 - Accent 5"/>
    <w:basedOn w:val="16"/>
    <w:qFormat/>
    <w:uiPriority w:val="63"/>
    <w:tblPr>
      <w:tblBorders>
        <w:top w:val="single" w:color="78C0D4" w:sz="8" w:space="0"/>
        <w:left w:val="single" w:color="78C0D4" w:sz="8" w:space="0"/>
        <w:bottom w:val="single" w:color="78C0D4" w:sz="8" w:space="0"/>
        <w:right w:val="single" w:color="78C0D4" w:sz="8" w:space="0"/>
        <w:insideH w:val="single" w:color="78C0D4" w:sz="8" w:space="0"/>
      </w:tblBorders>
      <w:tblCellMar>
        <w:top w:w="0" w:type="dxa"/>
        <w:left w:w="108" w:type="dxa"/>
        <w:bottom w:w="0" w:type="dxa"/>
        <w:right w:w="108" w:type="dxa"/>
      </w:tblCellMar>
    </w:tblPr>
    <w:tblStylePr w:type="firstRow">
      <w:pPr>
        <w:spacing w:before="0" w:after="0"/>
      </w:pPr>
      <w:rPr>
        <w:rFonts w:cs="Times New Roman"/>
        <w:b/>
        <w:bCs/>
        <w:color w:val="FFFFFF"/>
      </w:rPr>
      <w:tcPr>
        <w:tcBorders>
          <w:top w:val="single" w:color="78C0D4" w:sz="8" w:space="0"/>
          <w:left w:val="single" w:color="78C0D4" w:sz="8" w:space="0"/>
          <w:bottom w:val="single" w:color="78C0D4" w:sz="8" w:space="0"/>
          <w:right w:val="single" w:color="78C0D4" w:sz="8" w:space="0"/>
          <w:insideH w:val="nil"/>
          <w:insideV w:val="nil"/>
          <w:tl2br w:val="nil"/>
          <w:tr2bl w:val="nil"/>
        </w:tcBorders>
        <w:shd w:val="clear" w:color="auto" w:fill="4BACC6"/>
      </w:tcPr>
    </w:tblStylePr>
    <w:tblStylePr w:type="lastRow">
      <w:pPr>
        <w:spacing w:before="0" w:after="0"/>
      </w:pPr>
      <w:rPr>
        <w:rFonts w:cs="Times New Roman"/>
        <w:b/>
        <w:bCs/>
      </w:rPr>
      <w:tcPr>
        <w:tcBorders>
          <w:top w:val="double" w:color="78C0D4" w:sz="6" w:space="0"/>
          <w:left w:val="single" w:color="78C0D4" w:sz="8" w:space="0"/>
          <w:bottom w:val="single" w:color="78C0D4" w:sz="8" w:space="0"/>
          <w:right w:val="single" w:color="78C0D4"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D2EAF0"/>
      </w:tcPr>
    </w:tblStylePr>
    <w:tblStylePr w:type="band1Horz">
      <w:rPr>
        <w:rFonts w:cs="Times New Roman"/>
      </w:rPr>
      <w:tcPr>
        <w:shd w:val="clear" w:color="auto" w:fill="D2EAF0"/>
      </w:tcPr>
    </w:tblStylePr>
    <w:tblStylePr w:type="band2Horz">
      <w:rPr>
        <w:rFonts w:cs="Times New Roman"/>
      </w:rPr>
      <w:tcPr>
        <w:tcBorders>
          <w:top w:val="nil"/>
          <w:left w:val="nil"/>
          <w:bottom w:val="nil"/>
          <w:right w:val="nil"/>
          <w:insideH w:val="nil"/>
          <w:insideV w:val="nil"/>
          <w:tl2br w:val="nil"/>
          <w:tr2bl w:val="nil"/>
        </w:tcBorders>
      </w:tcPr>
    </w:tblStylePr>
  </w:style>
  <w:style w:type="table" w:customStyle="1" w:styleId="99">
    <w:name w:val="Light Grid - Accent 2"/>
    <w:basedOn w:val="16"/>
    <w:qFormat/>
    <w:uiPriority w:val="62"/>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
    <w:tblStylePr w:type="firstRow">
      <w:pPr>
        <w:spacing w:before="0" w:after="0"/>
      </w:pPr>
      <w:rPr>
        <w:rFonts w:ascii="Helvetica" w:hAnsi="Helvetica" w:eastAsia="Times New Roman" w:cs="Times New Roman"/>
        <w:b/>
        <w:bCs/>
      </w:rPr>
      <w:tcPr>
        <w:tcBorders>
          <w:top w:val="single" w:color="C0504D" w:sz="8" w:space="0"/>
          <w:left w:val="single" w:color="C0504D" w:sz="18" w:space="0"/>
          <w:bottom w:val="single" w:color="C0504D" w:sz="8" w:space="0"/>
          <w:right w:val="single" w:color="C0504D" w:sz="8" w:space="0"/>
          <w:insideH w:val="nil"/>
          <w:insideV w:val="single" w:sz="8" w:space="0"/>
          <w:tl2br w:val="nil"/>
          <w:tr2bl w:val="nil"/>
        </w:tcBorders>
      </w:tcPr>
    </w:tblStylePr>
    <w:tblStylePr w:type="lastRow">
      <w:pPr>
        <w:spacing w:before="0" w:after="0"/>
      </w:pPr>
      <w:rPr>
        <w:rFonts w:ascii="Helvetica" w:hAnsi="Helvetica" w:eastAsia="Times New Roman" w:cs="Times New Roman"/>
        <w:b/>
        <w:bCs/>
      </w:rPr>
      <w:tcPr>
        <w:tcBorders>
          <w:top w:val="double" w:color="C0504D" w:sz="6" w:space="0"/>
          <w:left w:val="single" w:color="C0504D" w:sz="8" w:space="0"/>
          <w:bottom w:val="single" w:color="C0504D" w:sz="8" w:space="0"/>
          <w:right w:val="single" w:color="C0504D" w:sz="8" w:space="0"/>
          <w:insideH w:val="nil"/>
          <w:insideV w:val="single" w:sz="8" w:space="0"/>
          <w:tl2br w:val="nil"/>
          <w:tr2bl w:val="nil"/>
        </w:tcBorders>
      </w:tcPr>
    </w:tblStylePr>
    <w:tblStylePr w:type="firstCol">
      <w:rPr>
        <w:rFonts w:ascii="Helvetica" w:hAnsi="Helvetica" w:eastAsia="Times New Roman" w:cs="Times New Roman"/>
        <w:b/>
        <w:bCs/>
      </w:rPr>
    </w:tblStylePr>
    <w:tblStylePr w:type="lastCol">
      <w:rPr>
        <w:rFonts w:ascii="Helvetica" w:hAnsi="Helvetica" w:eastAsia="Times New Roman" w:cs="Times New Roman"/>
        <w:b/>
        <w:bCs/>
      </w:rPr>
      <w:tcPr>
        <w:tcBorders>
          <w:top w:val="single" w:color="C0504D" w:sz="8" w:space="0"/>
          <w:left w:val="single" w:color="C0504D" w:sz="8" w:space="0"/>
          <w:bottom w:val="single" w:color="C0504D" w:sz="8" w:space="0"/>
          <w:right w:val="single" w:color="C0504D" w:sz="8" w:space="0"/>
          <w:insideH w:val="nil"/>
          <w:insideV w:val="nil"/>
          <w:tl2br w:val="nil"/>
          <w:tr2bl w:val="nil"/>
        </w:tcBorders>
      </w:tcPr>
    </w:tblStylePr>
    <w:tblStylePr w:type="band1Vert">
      <w:rPr>
        <w:rFonts w:cs="Times New Roman"/>
      </w:rPr>
      <w:tcPr>
        <w:tcBorders>
          <w:top w:val="single" w:color="C0504D" w:sz="8" w:space="0"/>
          <w:left w:val="single" w:color="C0504D" w:sz="8" w:space="0"/>
          <w:bottom w:val="single" w:color="C0504D" w:sz="8" w:space="0"/>
          <w:right w:val="single" w:color="C0504D" w:sz="8" w:space="0"/>
          <w:insideH w:val="nil"/>
          <w:insideV w:val="nil"/>
          <w:tl2br w:val="nil"/>
          <w:tr2bl w:val="nil"/>
        </w:tcBorders>
        <w:shd w:val="clear" w:color="auto" w:fill="EFD3D3"/>
      </w:tcPr>
    </w:tblStylePr>
    <w:tblStylePr w:type="band1Horz">
      <w:rPr>
        <w:rFonts w:cs="Times New Roman"/>
      </w:rPr>
      <w:tcPr>
        <w:tcBorders>
          <w:top w:val="single" w:color="C0504D" w:sz="8" w:space="0"/>
          <w:left w:val="single" w:color="C0504D" w:sz="8" w:space="0"/>
          <w:bottom w:val="single" w:color="C0504D" w:sz="8" w:space="0"/>
          <w:right w:val="single" w:color="C0504D" w:sz="8" w:space="0"/>
          <w:insideH w:val="nil"/>
          <w:insideV w:val="single" w:sz="8" w:space="0"/>
          <w:tl2br w:val="nil"/>
          <w:tr2bl w:val="nil"/>
        </w:tcBorders>
        <w:shd w:val="clear" w:color="auto" w:fill="EFD3D3"/>
      </w:tcPr>
    </w:tblStylePr>
    <w:tblStylePr w:type="band2Horz">
      <w:rPr>
        <w:rFonts w:cs="Times New Roman"/>
      </w:rPr>
      <w:tcPr>
        <w:tcBorders>
          <w:top w:val="single" w:color="C0504D" w:sz="8" w:space="0"/>
          <w:left w:val="single" w:color="C0504D" w:sz="8" w:space="0"/>
          <w:bottom w:val="single" w:color="C0504D" w:sz="8" w:space="0"/>
          <w:right w:val="single" w:color="C0504D" w:sz="8" w:space="0"/>
          <w:insideH w:val="nil"/>
          <w:insideV w:val="single" w:sz="8" w:space="0"/>
          <w:tl2br w:val="nil"/>
          <w:tr2bl w:val="nil"/>
        </w:tcBorders>
      </w:tcPr>
    </w:tblStylePr>
  </w:style>
  <w:style w:type="table" w:customStyle="1" w:styleId="100">
    <w:name w:val="Light List - Accent 3"/>
    <w:basedOn w:val="16"/>
    <w:qFormat/>
    <w:uiPriority w:val="61"/>
    <w:rPr>
      <w:sz w:val="22"/>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pPr>
      <w:rPr>
        <w:rFonts w:cs="Times New Roman"/>
        <w:b/>
        <w:bCs/>
        <w:color w:val="FFFFFF"/>
      </w:rPr>
      <w:tcPr>
        <w:shd w:val="clear" w:color="auto" w:fill="9BBB59"/>
      </w:tcPr>
    </w:tblStylePr>
    <w:tblStylePr w:type="lastRow">
      <w:pPr>
        <w:spacing w:before="0" w:after="0"/>
      </w:pPr>
      <w:rPr>
        <w:rFonts w:cs="Times New Roman"/>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rPr>
        <w:rFonts w:cs="Times New Roman"/>
      </w:r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101">
    <w:name w:val="Medium List 1 - Accent 5"/>
    <w:basedOn w:val="16"/>
    <w:qFormat/>
    <w:uiPriority w:val="65"/>
    <w:rPr>
      <w:color w:val="000000"/>
    </w:rPr>
    <w:tblPr>
      <w:tblBorders>
        <w:top w:val="single" w:color="4BACC6" w:sz="8" w:space="0"/>
        <w:bottom w:val="single" w:color="4BACC6" w:sz="8" w:space="0"/>
      </w:tblBorders>
      <w:tblCellMar>
        <w:top w:w="0" w:type="dxa"/>
        <w:left w:w="108" w:type="dxa"/>
        <w:bottom w:w="0" w:type="dxa"/>
        <w:right w:w="108" w:type="dxa"/>
      </w:tblCellMar>
    </w:tblPr>
    <w:tblStylePr w:type="firstRow">
      <w:rPr>
        <w:rFonts w:ascii="Helvetica" w:hAnsi="Helvetica" w:eastAsia="Times New Roman" w:cs="Times New Roman"/>
      </w:rPr>
      <w:tcPr>
        <w:tcBorders>
          <w:top w:val="nil"/>
          <w:left w:val="single" w:color="4BACC6" w:sz="8" w:space="0"/>
          <w:bottom w:val="nil"/>
          <w:right w:val="nil"/>
          <w:insideH w:val="nil"/>
          <w:insideV w:val="nil"/>
          <w:tl2br w:val="nil"/>
          <w:tr2bl w:val="nil"/>
        </w:tcBorders>
      </w:tcPr>
    </w:tblStylePr>
    <w:tblStylePr w:type="lastRow">
      <w:rPr>
        <w:rFonts w:cs="Times New Roman"/>
        <w:b/>
        <w:bCs/>
        <w:color w:val="1F497D"/>
      </w:rPr>
      <w:tcPr>
        <w:tcBorders>
          <w:top w:val="single" w:color="4BACC6" w:sz="8" w:space="0"/>
          <w:left w:val="single" w:color="4BACC6" w:sz="8" w:space="0"/>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cPr>
        <w:tcBorders>
          <w:top w:val="single" w:color="4BACC6" w:sz="8" w:space="0"/>
          <w:left w:val="single" w:color="4BACC6" w:sz="8" w:space="0"/>
          <w:bottom w:val="nil"/>
          <w:right w:val="nil"/>
          <w:insideH w:val="nil"/>
          <w:insideV w:val="nil"/>
          <w:tl2br w:val="nil"/>
          <w:tr2bl w:val="nil"/>
        </w:tcBorders>
      </w:tcPr>
    </w:tblStylePr>
    <w:tblStylePr w:type="band1Vert">
      <w:rPr>
        <w:rFonts w:cs="Times New Roman"/>
      </w:rPr>
      <w:tcPr>
        <w:shd w:val="clear" w:color="auto" w:fill="D2EAF0"/>
      </w:tcPr>
    </w:tblStylePr>
    <w:tblStylePr w:type="band1Horz">
      <w:rPr>
        <w:rFonts w:cs="Times New Roman"/>
      </w:rPr>
      <w:tcPr>
        <w:shd w:val="clear" w:color="auto" w:fill="D2EAF0"/>
      </w:tcPr>
    </w:tblStylePr>
  </w:style>
  <w:style w:type="table" w:customStyle="1" w:styleId="102">
    <w:name w:val="Medium List 2 - Accent 1"/>
    <w:basedOn w:val="16"/>
    <w:qFormat/>
    <w:uiPriority w:val="66"/>
    <w:rPr>
      <w:rFonts w:ascii="Cambria" w:hAnsi="Cambria"/>
      <w:color w:val="000000"/>
      <w:sz w:val="22"/>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rPr>
        <w:rFonts w:cs="Times New Roman"/>
        <w:sz w:val="24"/>
        <w:szCs w:val="24"/>
      </w:rPr>
      <w:tcPr>
        <w:tcBorders>
          <w:top w:val="nil"/>
          <w:left w:val="single" w:color="4F81BD" w:sz="24" w:space="0"/>
          <w:bottom w:val="nil"/>
          <w:right w:val="nil"/>
          <w:insideH w:val="nil"/>
          <w:insideV w:val="nil"/>
          <w:tl2br w:val="nil"/>
          <w:tr2bl w:val="nil"/>
        </w:tcBorders>
        <w:shd w:val="clear" w:color="auto" w:fill="FFFFFF"/>
      </w:tcPr>
    </w:tblStylePr>
    <w:tblStylePr w:type="lastRow">
      <w:rPr>
        <w:rFonts w:cs="Times New Roman"/>
      </w:rPr>
      <w:tcPr>
        <w:tcBorders>
          <w:top w:val="single" w:color="4F81BD" w:sz="8" w:space="0"/>
          <w:left w:val="nil"/>
          <w:bottom w:val="nil"/>
          <w:right w:val="nil"/>
          <w:insideH w:val="nil"/>
          <w:insideV w:val="nil"/>
          <w:tl2br w:val="nil"/>
          <w:tr2bl w:val="nil"/>
        </w:tcBorders>
        <w:shd w:val="clear" w:color="auto" w:fill="FFFFFF"/>
      </w:tcPr>
    </w:tblStylePr>
    <w:tblStylePr w:type="firstCol">
      <w:rPr>
        <w:rFonts w:cs="Times New Roman"/>
      </w:rPr>
      <w:tcPr>
        <w:tcBorders>
          <w:top w:val="nil"/>
          <w:left w:val="nil"/>
          <w:bottom w:val="nil"/>
          <w:right w:val="single" w:color="4F81BD" w:sz="8" w:space="0"/>
          <w:insideH w:val="nil"/>
          <w:insideV w:val="nil"/>
          <w:tl2br w:val="nil"/>
          <w:tr2bl w:val="nil"/>
        </w:tcBorders>
        <w:shd w:val="clear" w:color="auto" w:fill="FFFFFF"/>
      </w:tcPr>
    </w:tblStylePr>
    <w:tblStylePr w:type="lastCol">
      <w:rPr>
        <w:rFonts w:cs="Times New Roman"/>
      </w:rPr>
      <w:tcPr>
        <w:tcBorders>
          <w:top w:val="nil"/>
          <w:left w:val="nil"/>
          <w:bottom w:val="single" w:color="4F81BD" w:sz="8" w:space="0"/>
          <w:right w:val="nil"/>
          <w:insideH w:val="nil"/>
          <w:insideV w:val="nil"/>
          <w:tl2br w:val="nil"/>
          <w:tr2bl w:val="nil"/>
        </w:tcBorders>
        <w:shd w:val="clear" w:color="auto" w:fill="FFFFFF"/>
      </w:tcPr>
    </w:tblStylePr>
    <w:tblStylePr w:type="band1Vert">
      <w:rPr>
        <w:rFonts w:cs="Times New Roman"/>
      </w:rPr>
      <w:tcPr>
        <w:tcBorders>
          <w:top w:val="nil"/>
          <w:left w:val="nil"/>
          <w:bottom w:val="nil"/>
          <w:right w:val="nil"/>
          <w:insideH w:val="nil"/>
          <w:insideV w:val="nil"/>
          <w:tl2br w:val="nil"/>
          <w:tr2bl w:val="nil"/>
        </w:tcBorders>
        <w:shd w:val="clear" w:color="auto" w:fill="D3DFEE"/>
      </w:tcPr>
    </w:tblStylePr>
    <w:tblStylePr w:type="band1Horz">
      <w:rPr>
        <w:rFonts w:cs="Times New Roman"/>
      </w:rPr>
      <w:tcPr>
        <w:tcBorders>
          <w:top w:val="nil"/>
          <w:left w:val="nil"/>
          <w:bottom w:val="nil"/>
          <w:right w:val="nil"/>
          <w:insideH w:val="nil"/>
          <w:insideV w:val="nil"/>
          <w:tl2br w:val="nil"/>
          <w:tr2bl w:val="nil"/>
        </w:tcBorders>
        <w:shd w:val="clear" w:color="auto" w:fill="D3DFEE"/>
      </w:tcPr>
    </w:tblStylePr>
    <w:tblStylePr w:type="nwCell">
      <w:rPr>
        <w:rFonts w:cs="Times New Roman"/>
      </w:rPr>
      <w:tcPr>
        <w:shd w:val="clear" w:color="auto" w:fill="FFFFFF"/>
      </w:tcPr>
    </w:tblStylePr>
    <w:tblStylePr w:type="swCell">
      <w:rPr>
        <w:rFonts w:cs="Times New Roman"/>
      </w:rPr>
      <w:tcPr>
        <w:tcBorders>
          <w:top w:val="nil"/>
          <w:left w:val="nil"/>
          <w:bottom w:val="nil"/>
          <w:right w:val="nil"/>
          <w:insideH w:val="nil"/>
          <w:insideV w:val="nil"/>
          <w:tl2br w:val="nil"/>
          <w:tr2bl w:val="nil"/>
        </w:tcBorders>
      </w:tcPr>
    </w:tblStylePr>
  </w:style>
  <w:style w:type="table" w:customStyle="1" w:styleId="103">
    <w:name w:val="浅色底纹 - 强调文字颜色 111"/>
    <w:basedOn w:val="16"/>
    <w:qFormat/>
    <w:uiPriority w:val="60"/>
    <w:rPr>
      <w:color w:val="366091"/>
    </w:rPr>
    <w:tblPr>
      <w:tblBorders>
        <w:top w:val="single" w:color="4F81BD" w:sz="8" w:space="0"/>
        <w:bottom w:val="single" w:color="4F81BD" w:sz="8" w:space="0"/>
      </w:tblBorders>
      <w:tblCellMar>
        <w:top w:w="0" w:type="dxa"/>
        <w:left w:w="108" w:type="dxa"/>
        <w:bottom w:w="0" w:type="dxa"/>
        <w:right w:w="108" w:type="dxa"/>
      </w:tblCellMar>
    </w:tblPr>
  </w:style>
  <w:style w:type="table" w:customStyle="1" w:styleId="104">
    <w:name w:val="Medium List 2 - Accent 2"/>
    <w:basedOn w:val="16"/>
    <w:qFormat/>
    <w:uiPriority w:val="66"/>
    <w:rPr>
      <w:rFonts w:ascii="Cambria" w:hAnsi="Cambria"/>
      <w:color w:val="000000"/>
    </w:rPr>
    <w:tblPr>
      <w:tblBorders>
        <w:top w:val="single" w:color="C0504D" w:sz="8" w:space="0"/>
        <w:left w:val="single" w:color="C0504D" w:sz="8" w:space="0"/>
        <w:bottom w:val="single" w:color="C0504D" w:sz="8" w:space="0"/>
        <w:right w:val="single" w:color="C0504D" w:sz="8" w:space="0"/>
      </w:tblBorders>
      <w:tblCellMar>
        <w:top w:w="0" w:type="dxa"/>
        <w:left w:w="108" w:type="dxa"/>
        <w:bottom w:w="0" w:type="dxa"/>
        <w:right w:w="108" w:type="dxa"/>
      </w:tblCellMar>
    </w:tblPr>
    <w:tblStylePr w:type="firstRow">
      <w:rPr>
        <w:rFonts w:cs="Times New Roman"/>
        <w:sz w:val="24"/>
        <w:szCs w:val="24"/>
      </w:rPr>
      <w:tcPr>
        <w:tcBorders>
          <w:top w:val="nil"/>
          <w:left w:val="single" w:color="C0504D" w:sz="24" w:space="0"/>
          <w:bottom w:val="nil"/>
          <w:right w:val="nil"/>
          <w:insideH w:val="nil"/>
          <w:insideV w:val="nil"/>
          <w:tl2br w:val="nil"/>
          <w:tr2bl w:val="nil"/>
        </w:tcBorders>
        <w:shd w:val="clear" w:color="auto" w:fill="FFFFFF"/>
      </w:tcPr>
    </w:tblStylePr>
    <w:tblStylePr w:type="lastRow">
      <w:rPr>
        <w:rFonts w:cs="Times New Roman"/>
      </w:rPr>
      <w:tcPr>
        <w:tcBorders>
          <w:top w:val="single" w:color="C0504D" w:sz="8" w:space="0"/>
          <w:left w:val="nil"/>
          <w:bottom w:val="nil"/>
          <w:right w:val="nil"/>
          <w:insideH w:val="nil"/>
          <w:insideV w:val="nil"/>
          <w:tl2br w:val="nil"/>
          <w:tr2bl w:val="nil"/>
        </w:tcBorders>
        <w:shd w:val="clear" w:color="auto" w:fill="FFFFFF"/>
      </w:tcPr>
    </w:tblStylePr>
    <w:tblStylePr w:type="firstCol">
      <w:rPr>
        <w:rFonts w:cs="Times New Roman"/>
      </w:rPr>
      <w:tcPr>
        <w:tcBorders>
          <w:top w:val="nil"/>
          <w:left w:val="nil"/>
          <w:bottom w:val="nil"/>
          <w:right w:val="single" w:color="C0504D" w:sz="8" w:space="0"/>
          <w:insideH w:val="nil"/>
          <w:insideV w:val="nil"/>
          <w:tl2br w:val="nil"/>
          <w:tr2bl w:val="nil"/>
        </w:tcBorders>
        <w:shd w:val="clear" w:color="auto" w:fill="FFFFFF"/>
      </w:tcPr>
    </w:tblStylePr>
    <w:tblStylePr w:type="lastCol">
      <w:rPr>
        <w:rFonts w:cs="Times New Roman"/>
      </w:rPr>
      <w:tcPr>
        <w:tcBorders>
          <w:top w:val="nil"/>
          <w:left w:val="nil"/>
          <w:bottom w:val="single" w:color="C0504D" w:sz="8" w:space="0"/>
          <w:right w:val="nil"/>
          <w:insideH w:val="nil"/>
          <w:insideV w:val="nil"/>
          <w:tl2br w:val="nil"/>
          <w:tr2bl w:val="nil"/>
        </w:tcBorders>
        <w:shd w:val="clear" w:color="auto" w:fill="FFFFFF"/>
      </w:tcPr>
    </w:tblStylePr>
    <w:tblStylePr w:type="band1Vert">
      <w:rPr>
        <w:rFonts w:cs="Times New Roman"/>
      </w:rPr>
      <w:tcPr>
        <w:tcBorders>
          <w:top w:val="nil"/>
          <w:left w:val="nil"/>
          <w:bottom w:val="nil"/>
          <w:right w:val="nil"/>
          <w:insideH w:val="nil"/>
          <w:insideV w:val="nil"/>
          <w:tl2br w:val="nil"/>
          <w:tr2bl w:val="nil"/>
        </w:tcBorders>
        <w:shd w:val="clear" w:color="auto" w:fill="EFD3D3"/>
      </w:tcPr>
    </w:tblStylePr>
    <w:tblStylePr w:type="band1Horz">
      <w:rPr>
        <w:rFonts w:cs="Times New Roman"/>
      </w:rPr>
      <w:tcPr>
        <w:tcBorders>
          <w:top w:val="nil"/>
          <w:left w:val="nil"/>
          <w:bottom w:val="nil"/>
          <w:right w:val="nil"/>
          <w:insideH w:val="nil"/>
          <w:insideV w:val="nil"/>
          <w:tl2br w:val="nil"/>
          <w:tr2bl w:val="nil"/>
        </w:tcBorders>
        <w:shd w:val="clear" w:color="auto" w:fill="EFD3D3"/>
      </w:tcPr>
    </w:tblStylePr>
    <w:tblStylePr w:type="nwCell">
      <w:rPr>
        <w:rFonts w:cs="Times New Roman"/>
      </w:rPr>
      <w:tcPr>
        <w:shd w:val="clear" w:color="auto" w:fill="FFFFFF"/>
      </w:tcPr>
    </w:tblStylePr>
    <w:tblStylePr w:type="swCell">
      <w:rPr>
        <w:rFonts w:cs="Times New Roman"/>
      </w:rPr>
      <w:tcPr>
        <w:tcBorders>
          <w:top w:val="nil"/>
          <w:left w:val="nil"/>
          <w:bottom w:val="nil"/>
          <w:right w:val="nil"/>
          <w:insideH w:val="nil"/>
          <w:insideV w:val="nil"/>
          <w:tl2br w:val="nil"/>
          <w:tr2bl w:val="nil"/>
        </w:tcBorders>
      </w:tcPr>
    </w:tblStylePr>
  </w:style>
  <w:style w:type="table" w:customStyle="1" w:styleId="105">
    <w:name w:val="中等深浅底纹 1 - 强调文字颜色 11"/>
    <w:basedOn w:val="16"/>
    <w:qFormat/>
    <w:uiPriority w:val="63"/>
    <w:tblPr>
      <w:tblBorders>
        <w:top w:val="single" w:color="7BA0CD" w:sz="8" w:space="0"/>
        <w:left w:val="single" w:color="7BA0CD" w:sz="8" w:space="0"/>
        <w:bottom w:val="single" w:color="7BA0CD" w:sz="8" w:space="0"/>
        <w:right w:val="single" w:color="7BA0CD" w:sz="8" w:space="0"/>
        <w:insideH w:val="single" w:color="7BA0CD" w:sz="8" w:space="0"/>
      </w:tblBorders>
      <w:tblCellMar>
        <w:top w:w="0" w:type="dxa"/>
        <w:left w:w="108" w:type="dxa"/>
        <w:bottom w:w="0" w:type="dxa"/>
        <w:right w:w="108" w:type="dxa"/>
      </w:tblCellMar>
    </w:tblPr>
    <w:tblStylePr w:type="firstRow">
      <w:pPr>
        <w:spacing w:before="0" w:after="0"/>
      </w:pPr>
      <w:rPr>
        <w:rFonts w:cs="Times New Roman"/>
        <w:b/>
        <w:bCs/>
        <w:color w:val="FFFFFF"/>
      </w:rPr>
      <w:tcPr>
        <w:tcBorders>
          <w:top w:val="single" w:color="7BA0CD" w:sz="8" w:space="0"/>
          <w:left w:val="single" w:color="7BA0CD" w:sz="8" w:space="0"/>
          <w:bottom w:val="single" w:color="7BA0CD" w:sz="8" w:space="0"/>
          <w:right w:val="single" w:color="7BA0CD" w:sz="8" w:space="0"/>
          <w:insideH w:val="nil"/>
          <w:insideV w:val="nil"/>
          <w:tl2br w:val="nil"/>
          <w:tr2bl w:val="nil"/>
        </w:tcBorders>
        <w:shd w:val="clear" w:color="auto" w:fill="4F81BD"/>
      </w:tcPr>
    </w:tblStylePr>
    <w:tblStylePr w:type="lastRow">
      <w:pPr>
        <w:spacing w:before="0" w:after="0"/>
      </w:pPr>
      <w:rPr>
        <w:rFonts w:cs="Times New Roman"/>
        <w:b/>
        <w:bCs/>
      </w:rPr>
      <w:tcPr>
        <w:tcBorders>
          <w:top w:val="double" w:color="7BA0CD" w:sz="6" w:space="0"/>
          <w:left w:val="single" w:color="7BA0CD" w:sz="8" w:space="0"/>
          <w:bottom w:val="single" w:color="7BA0CD" w:sz="8" w:space="0"/>
          <w:right w:val="single" w:color="7BA0CD"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D3DFEE"/>
      </w:tcPr>
    </w:tblStylePr>
    <w:tblStylePr w:type="band1Horz">
      <w:rPr>
        <w:rFonts w:cs="Times New Roman"/>
      </w:rPr>
      <w:tcPr>
        <w:shd w:val="clear" w:color="auto" w:fill="D3DFEE"/>
      </w:tcPr>
    </w:tblStylePr>
  </w:style>
  <w:style w:type="table" w:customStyle="1" w:styleId="106">
    <w:name w:val="Medium List 2 - Accent 3"/>
    <w:basedOn w:val="16"/>
    <w:qFormat/>
    <w:uiPriority w:val="66"/>
    <w:rPr>
      <w:rFonts w:ascii="Cambria" w:hAnsi="Cambria"/>
      <w:color w:val="000000"/>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rPr>
        <w:rFonts w:cs="Times New Roman"/>
        <w:sz w:val="24"/>
        <w:szCs w:val="24"/>
      </w:rPr>
      <w:tcPr>
        <w:tcBorders>
          <w:top w:val="nil"/>
          <w:left w:val="single" w:color="9BBB59" w:sz="24" w:space="0"/>
          <w:bottom w:val="nil"/>
          <w:right w:val="nil"/>
          <w:insideH w:val="nil"/>
          <w:insideV w:val="nil"/>
          <w:tl2br w:val="nil"/>
          <w:tr2bl w:val="nil"/>
        </w:tcBorders>
        <w:shd w:val="clear" w:color="auto" w:fill="FFFFFF"/>
      </w:tcPr>
    </w:tblStylePr>
    <w:tblStylePr w:type="lastRow">
      <w:rPr>
        <w:rFonts w:cs="Times New Roman"/>
      </w:rPr>
      <w:tcPr>
        <w:tcBorders>
          <w:top w:val="single" w:color="9BBB59" w:sz="8" w:space="0"/>
          <w:left w:val="nil"/>
          <w:bottom w:val="nil"/>
          <w:right w:val="nil"/>
          <w:insideH w:val="nil"/>
          <w:insideV w:val="nil"/>
          <w:tl2br w:val="nil"/>
          <w:tr2bl w:val="nil"/>
        </w:tcBorders>
        <w:shd w:val="clear" w:color="auto" w:fill="FFFFFF"/>
      </w:tcPr>
    </w:tblStylePr>
    <w:tblStylePr w:type="firstCol">
      <w:rPr>
        <w:rFonts w:cs="Times New Roman"/>
      </w:rPr>
      <w:tcPr>
        <w:tcBorders>
          <w:top w:val="nil"/>
          <w:left w:val="nil"/>
          <w:bottom w:val="nil"/>
          <w:right w:val="single" w:color="9BBB59" w:sz="8" w:space="0"/>
          <w:insideH w:val="nil"/>
          <w:insideV w:val="nil"/>
          <w:tl2br w:val="nil"/>
          <w:tr2bl w:val="nil"/>
        </w:tcBorders>
        <w:shd w:val="clear" w:color="auto" w:fill="FFFFFF"/>
      </w:tcPr>
    </w:tblStylePr>
    <w:tblStylePr w:type="lastCol">
      <w:rPr>
        <w:rFonts w:cs="Times New Roman"/>
      </w:rPr>
      <w:tcPr>
        <w:tcBorders>
          <w:top w:val="nil"/>
          <w:left w:val="nil"/>
          <w:bottom w:val="single" w:color="9BBB59" w:sz="8" w:space="0"/>
          <w:right w:val="nil"/>
          <w:insideH w:val="nil"/>
          <w:insideV w:val="nil"/>
          <w:tl2br w:val="nil"/>
          <w:tr2bl w:val="nil"/>
        </w:tcBorders>
        <w:shd w:val="clear" w:color="auto" w:fill="FFFFFF"/>
      </w:tcPr>
    </w:tblStylePr>
    <w:tblStylePr w:type="band1Vert">
      <w:rPr>
        <w:rFonts w:cs="Times New Roman"/>
      </w:rPr>
      <w:tcPr>
        <w:tcBorders>
          <w:top w:val="nil"/>
          <w:left w:val="nil"/>
          <w:bottom w:val="nil"/>
          <w:right w:val="nil"/>
          <w:insideH w:val="nil"/>
          <w:insideV w:val="nil"/>
          <w:tl2br w:val="nil"/>
          <w:tr2bl w:val="nil"/>
        </w:tcBorders>
        <w:shd w:val="clear" w:color="auto" w:fill="E6EED5"/>
      </w:tcPr>
    </w:tblStylePr>
    <w:tblStylePr w:type="band1Horz">
      <w:rPr>
        <w:rFonts w:cs="Times New Roman"/>
      </w:rPr>
      <w:tcPr>
        <w:tcBorders>
          <w:top w:val="nil"/>
          <w:left w:val="nil"/>
          <w:bottom w:val="nil"/>
          <w:right w:val="nil"/>
          <w:insideH w:val="nil"/>
          <w:insideV w:val="nil"/>
          <w:tl2br w:val="nil"/>
          <w:tr2bl w:val="nil"/>
        </w:tcBorders>
        <w:shd w:val="clear" w:color="auto" w:fill="E6EED5"/>
      </w:tcPr>
    </w:tblStylePr>
    <w:tblStylePr w:type="nwCell">
      <w:rPr>
        <w:rFonts w:cs="Times New Roman"/>
      </w:rPr>
      <w:tcPr>
        <w:shd w:val="clear" w:color="auto" w:fill="FFFFFF"/>
      </w:tcPr>
    </w:tblStylePr>
    <w:tblStylePr w:type="swCell">
      <w:rPr>
        <w:rFonts w:cs="Times New Roman"/>
      </w:rPr>
      <w:tcPr>
        <w:tcBorders>
          <w:top w:val="nil"/>
          <w:left w:val="nil"/>
          <w:bottom w:val="nil"/>
          <w:right w:val="nil"/>
          <w:insideH w:val="nil"/>
          <w:insideV w:val="nil"/>
          <w:tl2br w:val="nil"/>
          <w:tr2bl w:val="nil"/>
        </w:tcBorders>
      </w:tcPr>
    </w:tblStylePr>
  </w:style>
  <w:style w:type="table" w:customStyle="1" w:styleId="107">
    <w:name w:val="浅色列表1"/>
    <w:basedOn w:val="16"/>
    <w:qFormat/>
    <w:uiPriority w:val="61"/>
    <w:rPr>
      <w:sz w:val="22"/>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pPr>
      <w:rPr>
        <w:rFonts w:cs="Times New Roman"/>
        <w:b/>
        <w:bCs/>
        <w:color w:val="FFFFFF"/>
      </w:rPr>
      <w:tcPr>
        <w:shd w:val="clear" w:color="auto" w:fill="000000"/>
      </w:tcPr>
    </w:tblStylePr>
    <w:tblStylePr w:type="lastRow">
      <w:pPr>
        <w:spacing w:before="0" w:after="0"/>
      </w:pPr>
      <w:rPr>
        <w:rFonts w:cs="Times New Roman"/>
        <w:b/>
        <w:bCs/>
      </w:r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rPr>
        <w:rFonts w:cs="Times New Roman"/>
      </w:r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table" w:customStyle="1" w:styleId="108">
    <w:name w:val="Medium List 2 - Accent 5"/>
    <w:basedOn w:val="16"/>
    <w:qFormat/>
    <w:uiPriority w:val="66"/>
    <w:rPr>
      <w:rFonts w:ascii="Cambria" w:hAnsi="Cambria"/>
      <w:color w:val="000000"/>
    </w:rPr>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tblStylePr w:type="firstRow">
      <w:rPr>
        <w:rFonts w:cs="Times New Roman"/>
        <w:sz w:val="24"/>
        <w:szCs w:val="24"/>
      </w:rPr>
      <w:tcPr>
        <w:tcBorders>
          <w:top w:val="nil"/>
          <w:left w:val="single" w:color="4BACC6" w:sz="24" w:space="0"/>
          <w:bottom w:val="nil"/>
          <w:right w:val="nil"/>
          <w:insideH w:val="nil"/>
          <w:insideV w:val="nil"/>
          <w:tl2br w:val="nil"/>
          <w:tr2bl w:val="nil"/>
        </w:tcBorders>
        <w:shd w:val="clear" w:color="auto" w:fill="FFFFFF"/>
      </w:tcPr>
    </w:tblStylePr>
    <w:tblStylePr w:type="lastRow">
      <w:rPr>
        <w:rFonts w:cs="Times New Roman"/>
      </w:rPr>
      <w:tcPr>
        <w:tcBorders>
          <w:top w:val="single" w:color="4BACC6" w:sz="8" w:space="0"/>
          <w:left w:val="nil"/>
          <w:bottom w:val="nil"/>
          <w:right w:val="nil"/>
          <w:insideH w:val="nil"/>
          <w:insideV w:val="nil"/>
          <w:tl2br w:val="nil"/>
          <w:tr2bl w:val="nil"/>
        </w:tcBorders>
        <w:shd w:val="clear" w:color="auto" w:fill="FFFFFF"/>
      </w:tcPr>
    </w:tblStylePr>
    <w:tblStylePr w:type="firstCol">
      <w:rPr>
        <w:rFonts w:cs="Times New Roman"/>
      </w:rPr>
      <w:tcPr>
        <w:tcBorders>
          <w:top w:val="nil"/>
          <w:left w:val="nil"/>
          <w:bottom w:val="nil"/>
          <w:right w:val="single" w:color="4BACC6" w:sz="8" w:space="0"/>
          <w:insideH w:val="nil"/>
          <w:insideV w:val="nil"/>
          <w:tl2br w:val="nil"/>
          <w:tr2bl w:val="nil"/>
        </w:tcBorders>
        <w:shd w:val="clear" w:color="auto" w:fill="FFFFFF"/>
      </w:tcPr>
    </w:tblStylePr>
    <w:tblStylePr w:type="lastCol">
      <w:rPr>
        <w:rFonts w:cs="Times New Roman"/>
      </w:rPr>
      <w:tcPr>
        <w:tcBorders>
          <w:top w:val="nil"/>
          <w:left w:val="nil"/>
          <w:bottom w:val="single" w:color="4BACC6" w:sz="8" w:space="0"/>
          <w:right w:val="nil"/>
          <w:insideH w:val="nil"/>
          <w:insideV w:val="nil"/>
          <w:tl2br w:val="nil"/>
          <w:tr2bl w:val="nil"/>
        </w:tcBorders>
        <w:shd w:val="clear" w:color="auto" w:fill="FFFFFF"/>
      </w:tcPr>
    </w:tblStylePr>
    <w:tblStylePr w:type="band1Vert">
      <w:rPr>
        <w:rFonts w:cs="Times New Roman"/>
      </w:rPr>
      <w:tcPr>
        <w:tcBorders>
          <w:top w:val="nil"/>
          <w:left w:val="nil"/>
          <w:bottom w:val="nil"/>
          <w:right w:val="nil"/>
          <w:insideH w:val="nil"/>
          <w:insideV w:val="nil"/>
          <w:tl2br w:val="nil"/>
          <w:tr2bl w:val="nil"/>
        </w:tcBorders>
        <w:shd w:val="clear" w:color="auto" w:fill="D2EAF0"/>
      </w:tcPr>
    </w:tblStylePr>
    <w:tblStylePr w:type="band1Horz">
      <w:rPr>
        <w:rFonts w:cs="Times New Roman"/>
      </w:rPr>
      <w:tcPr>
        <w:tcBorders>
          <w:top w:val="nil"/>
          <w:left w:val="nil"/>
          <w:bottom w:val="nil"/>
          <w:right w:val="nil"/>
          <w:insideH w:val="nil"/>
          <w:insideV w:val="nil"/>
          <w:tl2br w:val="nil"/>
          <w:tr2bl w:val="nil"/>
        </w:tcBorders>
        <w:shd w:val="clear" w:color="auto" w:fill="D2EAF0"/>
      </w:tcPr>
    </w:tblStylePr>
    <w:tblStylePr w:type="nwCell">
      <w:rPr>
        <w:rFonts w:cs="Times New Roman"/>
      </w:rPr>
      <w:tcPr>
        <w:shd w:val="clear" w:color="auto" w:fill="FFFFFF"/>
      </w:tcPr>
    </w:tblStylePr>
    <w:tblStylePr w:type="swCell">
      <w:rPr>
        <w:rFonts w:cs="Times New Roman"/>
      </w:rPr>
      <w:tcPr>
        <w:tcBorders>
          <w:top w:val="nil"/>
          <w:left w:val="nil"/>
          <w:bottom w:val="nil"/>
          <w:right w:val="nil"/>
          <w:insideH w:val="nil"/>
          <w:insideV w:val="nil"/>
          <w:tl2br w:val="nil"/>
          <w:tr2bl w:val="nil"/>
        </w:tcBorders>
      </w:tcPr>
    </w:tblStylePr>
  </w:style>
  <w:style w:type="table" w:customStyle="1" w:styleId="109">
    <w:name w:val="浅色网格 - 强调文字颜色 11"/>
    <w:basedOn w:val="16"/>
    <w:qFormat/>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
    <w:tblStylePr w:type="firstRow">
      <w:pPr>
        <w:spacing w:before="0" w:after="0"/>
      </w:pPr>
      <w:rPr>
        <w:rFonts w:ascii="Helvetica" w:hAnsi="Helvetica" w:eastAsia="Times New Roman" w:cs="Times New Roman"/>
        <w:b/>
        <w:bCs/>
      </w:rPr>
      <w:tcPr>
        <w:tcBorders>
          <w:top w:val="single" w:color="4F81BD" w:sz="8" w:space="0"/>
          <w:left w:val="single" w:color="4F81BD" w:sz="18" w:space="0"/>
          <w:bottom w:val="single" w:color="4F81BD" w:sz="8" w:space="0"/>
          <w:right w:val="single" w:color="4F81BD" w:sz="8" w:space="0"/>
          <w:insideH w:val="nil"/>
          <w:insideV w:val="single" w:sz="8" w:space="0"/>
          <w:tl2br w:val="nil"/>
          <w:tr2bl w:val="nil"/>
        </w:tcBorders>
      </w:tcPr>
    </w:tblStylePr>
    <w:tblStylePr w:type="lastRow">
      <w:pPr>
        <w:spacing w:before="0" w:after="0"/>
      </w:pPr>
      <w:rPr>
        <w:rFonts w:ascii="Helvetica" w:hAnsi="Helvetica" w:eastAsia="Times New Roman" w:cs="Times New Roman"/>
        <w:b/>
        <w:bCs/>
      </w:rPr>
      <w:tcPr>
        <w:tcBorders>
          <w:top w:val="double" w:color="4F81BD" w:sz="6" w:space="0"/>
          <w:left w:val="single" w:color="4F81BD" w:sz="8" w:space="0"/>
          <w:bottom w:val="single" w:color="4F81BD" w:sz="8" w:space="0"/>
          <w:right w:val="single" w:color="4F81BD" w:sz="8" w:space="0"/>
          <w:insideH w:val="nil"/>
          <w:insideV w:val="single" w:sz="8" w:space="0"/>
          <w:tl2br w:val="nil"/>
          <w:tr2bl w:val="nil"/>
        </w:tcBorders>
      </w:tcPr>
    </w:tblStylePr>
    <w:tblStylePr w:type="firstCol">
      <w:rPr>
        <w:rFonts w:ascii="Helvetica" w:hAnsi="Helvetica" w:eastAsia="Times New Roman" w:cs="Times New Roman"/>
        <w:b/>
        <w:bCs/>
      </w:rPr>
    </w:tblStylePr>
    <w:tblStylePr w:type="lastCol">
      <w:rPr>
        <w:rFonts w:ascii="Helvetica" w:hAnsi="Helvetica" w:eastAsia="Times New Roman" w:cs="Times New Roman"/>
        <w:b/>
        <w:bCs/>
      </w:rPr>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Vert">
      <w:rPr>
        <w:rFonts w:cs="Times New Roman"/>
      </w:rPr>
      <w:tcPr>
        <w:tcBorders>
          <w:top w:val="single" w:color="4F81BD" w:sz="8" w:space="0"/>
          <w:left w:val="single" w:color="4F81BD" w:sz="8" w:space="0"/>
          <w:bottom w:val="single" w:color="4F81BD" w:sz="8" w:space="0"/>
          <w:right w:val="single" w:color="4F81BD" w:sz="8" w:space="0"/>
          <w:insideH w:val="nil"/>
          <w:insideV w:val="nil"/>
          <w:tl2br w:val="nil"/>
          <w:tr2bl w:val="nil"/>
        </w:tcBorders>
        <w:shd w:val="clear" w:color="auto" w:fill="D3DFEE"/>
      </w:tcPr>
    </w:tblStylePr>
    <w:tblStylePr w:type="band1Horz">
      <w:rPr>
        <w:rFonts w:cs="Times New Roman"/>
      </w:rPr>
      <w:tcPr>
        <w:tcBorders>
          <w:top w:val="single" w:color="4F81BD" w:sz="8" w:space="0"/>
          <w:left w:val="single" w:color="4F81BD" w:sz="8" w:space="0"/>
          <w:bottom w:val="single" w:color="4F81BD" w:sz="8" w:space="0"/>
          <w:right w:val="single" w:color="4F81BD" w:sz="8" w:space="0"/>
          <w:insideH w:val="nil"/>
          <w:insideV w:val="single" w:sz="8" w:space="0"/>
          <w:tl2br w:val="nil"/>
          <w:tr2bl w:val="nil"/>
        </w:tcBorders>
        <w:shd w:val="clear" w:color="auto" w:fill="D3DFEE"/>
      </w:tcPr>
    </w:tblStylePr>
    <w:tblStylePr w:type="band2Horz">
      <w:rPr>
        <w:rFonts w:cs="Times New Roman"/>
      </w:rPr>
      <w:tcPr>
        <w:tcBorders>
          <w:top w:val="single" w:color="4F81BD" w:sz="8" w:space="0"/>
          <w:left w:val="single" w:color="4F81BD" w:sz="8" w:space="0"/>
          <w:bottom w:val="single" w:color="4F81BD" w:sz="8" w:space="0"/>
          <w:right w:val="single" w:color="4F81BD" w:sz="8" w:space="0"/>
          <w:insideH w:val="nil"/>
          <w:insideV w:val="single" w:sz="8" w:space="0"/>
          <w:tl2br w:val="nil"/>
          <w:tr2bl w:val="nil"/>
        </w:tcBorders>
      </w:tcPr>
    </w:tblStylePr>
  </w:style>
  <w:style w:type="table" w:customStyle="1" w:styleId="110">
    <w:name w:val="Medium List 2 - Accent 6"/>
    <w:basedOn w:val="16"/>
    <w:qFormat/>
    <w:uiPriority w:val="66"/>
    <w:rPr>
      <w:rFonts w:ascii="Cambria" w:hAnsi="Cambria"/>
      <w:color w:val="000000"/>
    </w:rPr>
    <w:tblPr>
      <w:tblBorders>
        <w:top w:val="single" w:color="F79646" w:sz="8" w:space="0"/>
        <w:left w:val="single" w:color="F79646" w:sz="8" w:space="0"/>
        <w:bottom w:val="single" w:color="F79646" w:sz="8" w:space="0"/>
        <w:right w:val="single" w:color="F79646" w:sz="8" w:space="0"/>
      </w:tblBorders>
      <w:tblCellMar>
        <w:top w:w="0" w:type="dxa"/>
        <w:left w:w="108" w:type="dxa"/>
        <w:bottom w:w="0" w:type="dxa"/>
        <w:right w:w="108" w:type="dxa"/>
      </w:tblCellMar>
    </w:tblPr>
    <w:tblStylePr w:type="firstRow">
      <w:rPr>
        <w:rFonts w:cs="Times New Roman"/>
        <w:sz w:val="24"/>
        <w:szCs w:val="24"/>
      </w:rPr>
      <w:tcPr>
        <w:tcBorders>
          <w:top w:val="nil"/>
          <w:left w:val="single" w:color="F79646" w:sz="24" w:space="0"/>
          <w:bottom w:val="nil"/>
          <w:right w:val="nil"/>
          <w:insideH w:val="nil"/>
          <w:insideV w:val="nil"/>
          <w:tl2br w:val="nil"/>
          <w:tr2bl w:val="nil"/>
        </w:tcBorders>
        <w:shd w:val="clear" w:color="auto" w:fill="FFFFFF"/>
      </w:tcPr>
    </w:tblStylePr>
    <w:tblStylePr w:type="lastRow">
      <w:rPr>
        <w:rFonts w:cs="Times New Roman"/>
      </w:rPr>
      <w:tcPr>
        <w:tcBorders>
          <w:top w:val="single" w:color="F79646" w:sz="8" w:space="0"/>
          <w:left w:val="nil"/>
          <w:bottom w:val="nil"/>
          <w:right w:val="nil"/>
          <w:insideH w:val="nil"/>
          <w:insideV w:val="nil"/>
          <w:tl2br w:val="nil"/>
          <w:tr2bl w:val="nil"/>
        </w:tcBorders>
        <w:shd w:val="clear" w:color="auto" w:fill="FFFFFF"/>
      </w:tcPr>
    </w:tblStylePr>
    <w:tblStylePr w:type="firstCol">
      <w:rPr>
        <w:rFonts w:cs="Times New Roman"/>
      </w:rPr>
      <w:tcPr>
        <w:tcBorders>
          <w:top w:val="nil"/>
          <w:left w:val="nil"/>
          <w:bottom w:val="nil"/>
          <w:right w:val="single" w:color="F79646" w:sz="8" w:space="0"/>
          <w:insideH w:val="nil"/>
          <w:insideV w:val="nil"/>
          <w:tl2br w:val="nil"/>
          <w:tr2bl w:val="nil"/>
        </w:tcBorders>
        <w:shd w:val="clear" w:color="auto" w:fill="FFFFFF"/>
      </w:tcPr>
    </w:tblStylePr>
    <w:tblStylePr w:type="lastCol">
      <w:rPr>
        <w:rFonts w:cs="Times New Roman"/>
      </w:rPr>
      <w:tcPr>
        <w:tcBorders>
          <w:top w:val="nil"/>
          <w:left w:val="nil"/>
          <w:bottom w:val="single" w:color="F79646" w:sz="8" w:space="0"/>
          <w:right w:val="nil"/>
          <w:insideH w:val="nil"/>
          <w:insideV w:val="nil"/>
          <w:tl2br w:val="nil"/>
          <w:tr2bl w:val="nil"/>
        </w:tcBorders>
        <w:shd w:val="clear" w:color="auto" w:fill="FFFFFF"/>
      </w:tcPr>
    </w:tblStylePr>
    <w:tblStylePr w:type="band1Vert">
      <w:rPr>
        <w:rFonts w:cs="Times New Roman"/>
      </w:rPr>
      <w:tcPr>
        <w:tcBorders>
          <w:top w:val="nil"/>
          <w:left w:val="nil"/>
          <w:bottom w:val="nil"/>
          <w:right w:val="nil"/>
          <w:insideH w:val="nil"/>
          <w:insideV w:val="nil"/>
          <w:tl2br w:val="nil"/>
          <w:tr2bl w:val="nil"/>
        </w:tcBorders>
        <w:shd w:val="clear" w:color="auto" w:fill="FDE5D1"/>
      </w:tcPr>
    </w:tblStylePr>
    <w:tblStylePr w:type="band1Horz">
      <w:rPr>
        <w:rFonts w:cs="Times New Roman"/>
      </w:rPr>
      <w:tcPr>
        <w:tcBorders>
          <w:top w:val="nil"/>
          <w:left w:val="nil"/>
          <w:bottom w:val="nil"/>
          <w:right w:val="nil"/>
          <w:insideH w:val="nil"/>
          <w:insideV w:val="nil"/>
          <w:tl2br w:val="nil"/>
          <w:tr2bl w:val="nil"/>
        </w:tcBorders>
        <w:shd w:val="clear" w:color="auto" w:fill="FDE5D1"/>
      </w:tcPr>
    </w:tblStylePr>
    <w:tblStylePr w:type="nwCell">
      <w:rPr>
        <w:rFonts w:cs="Times New Roman"/>
      </w:rPr>
      <w:tcPr>
        <w:shd w:val="clear" w:color="auto" w:fill="FFFFFF"/>
      </w:tcPr>
    </w:tblStylePr>
    <w:tblStylePr w:type="swCell">
      <w:rPr>
        <w:rFonts w:cs="Times New Roman"/>
      </w:rPr>
      <w:tcPr>
        <w:tcBorders>
          <w:top w:val="nil"/>
          <w:left w:val="nil"/>
          <w:bottom w:val="nil"/>
          <w:right w:val="nil"/>
          <w:insideH w:val="nil"/>
          <w:insideV w:val="nil"/>
          <w:tl2br w:val="nil"/>
          <w:tr2bl w:val="nil"/>
        </w:tcBorders>
      </w:tcPr>
    </w:tblStylePr>
  </w:style>
  <w:style w:type="table" w:customStyle="1" w:styleId="111">
    <w:name w:val="浅色列表2"/>
    <w:basedOn w:val="16"/>
    <w:qFormat/>
    <w:uiPriority w:val="61"/>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pPr>
      <w:rPr>
        <w:rFonts w:cs="Times New Roman"/>
        <w:b/>
        <w:bCs/>
        <w:color w:val="FFFFFF"/>
      </w:rPr>
      <w:tcPr>
        <w:shd w:val="clear" w:color="auto" w:fill="000000"/>
      </w:tcPr>
    </w:tblStylePr>
    <w:tblStylePr w:type="lastRow">
      <w:pPr>
        <w:spacing w:before="0" w:after="0"/>
      </w:pPr>
      <w:rPr>
        <w:rFonts w:cs="Times New Roman"/>
        <w:b/>
        <w:bCs/>
      </w:r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rPr>
        <w:rFonts w:cs="Times New Roman"/>
      </w:r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table" w:customStyle="1" w:styleId="112">
    <w:name w:val="Medium Grid 1 - Accent 1"/>
    <w:basedOn w:val="16"/>
    <w:qFormat/>
    <w:uiPriority w:val="67"/>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cPr>
        <w:tcBorders>
          <w:top w:val="single" w:color="7BA0CD" w:sz="18" w:space="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A7C0DE"/>
      </w:tcPr>
    </w:tblStylePr>
    <w:tblStylePr w:type="band1Horz">
      <w:rPr>
        <w:rFonts w:cs="Times New Roman"/>
      </w:rPr>
      <w:tcPr>
        <w:shd w:val="clear" w:color="auto" w:fill="A7C0DE"/>
      </w:tcPr>
    </w:tblStylePr>
  </w:style>
  <w:style w:type="table" w:customStyle="1" w:styleId="113">
    <w:name w:val="中等深浅列表 1 - 强调文字颜色 11"/>
    <w:basedOn w:val="16"/>
    <w:qFormat/>
    <w:uiPriority w:val="65"/>
    <w:rPr>
      <w:color w:val="000000"/>
    </w:rPr>
    <w:tblPr>
      <w:tblBorders>
        <w:top w:val="single" w:color="4F81BD" w:sz="8" w:space="0"/>
        <w:bottom w:val="single" w:color="4F81BD" w:sz="8" w:space="0"/>
      </w:tblBorders>
      <w:tblCellMar>
        <w:top w:w="0" w:type="dxa"/>
        <w:left w:w="108" w:type="dxa"/>
        <w:bottom w:w="0" w:type="dxa"/>
        <w:right w:w="108" w:type="dxa"/>
      </w:tblCellMar>
    </w:tblPr>
    <w:tblStylePr w:type="firstRow">
      <w:rPr>
        <w:rFonts w:ascii="Helvetica" w:hAnsi="Helvetica" w:eastAsia="Times New Roman" w:cs="Times New Roman"/>
      </w:rPr>
      <w:tcPr>
        <w:tcBorders>
          <w:top w:val="nil"/>
          <w:left w:val="single" w:color="4F81BD" w:sz="8" w:space="0"/>
          <w:bottom w:val="nil"/>
          <w:right w:val="nil"/>
          <w:insideH w:val="nil"/>
          <w:insideV w:val="nil"/>
          <w:tl2br w:val="nil"/>
          <w:tr2bl w:val="nil"/>
        </w:tcBorders>
      </w:tcPr>
    </w:tblStylePr>
    <w:tblStylePr w:type="lastRow">
      <w:rPr>
        <w:rFonts w:cs="Times New Roman"/>
        <w:b/>
        <w:bCs/>
        <w:color w:val="1F497D"/>
      </w:rPr>
      <w:tcPr>
        <w:tcBorders>
          <w:top w:val="single" w:color="4F81BD" w:sz="8" w:space="0"/>
          <w:left w:val="single" w:color="4F81BD" w:sz="8" w:space="0"/>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cPr>
        <w:tcBorders>
          <w:top w:val="single" w:color="4F81BD" w:sz="8" w:space="0"/>
          <w:left w:val="single" w:color="4F81BD" w:sz="8" w:space="0"/>
          <w:bottom w:val="nil"/>
          <w:right w:val="nil"/>
          <w:insideH w:val="nil"/>
          <w:insideV w:val="nil"/>
          <w:tl2br w:val="nil"/>
          <w:tr2bl w:val="nil"/>
        </w:tcBorders>
      </w:tcPr>
    </w:tblStylePr>
    <w:tblStylePr w:type="band1Vert">
      <w:rPr>
        <w:rFonts w:cs="Times New Roman"/>
      </w:rPr>
      <w:tcPr>
        <w:shd w:val="clear" w:color="auto" w:fill="D3DFEE"/>
      </w:tcPr>
    </w:tblStylePr>
    <w:tblStylePr w:type="band1Horz">
      <w:rPr>
        <w:rFonts w:cs="Times New Roman"/>
      </w:rPr>
      <w:tcPr>
        <w:shd w:val="clear" w:color="auto" w:fill="D3DFEE"/>
      </w:tcPr>
    </w:tblStylePr>
  </w:style>
  <w:style w:type="table" w:customStyle="1" w:styleId="114">
    <w:name w:val="Medium Grid 1 - Accent 2"/>
    <w:basedOn w:val="16"/>
    <w:qFormat/>
    <w:uiPriority w:val="67"/>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CellMar>
        <w:top w:w="0" w:type="dxa"/>
        <w:left w:w="108" w:type="dxa"/>
        <w:bottom w:w="0" w:type="dxa"/>
        <w:right w:w="108" w:type="dxa"/>
      </w:tblCellMar>
    </w:tblPr>
    <w:tcPr>
      <w:shd w:val="clear" w:color="auto" w:fill="EFD3D3"/>
    </w:tcPr>
    <w:tblStylePr w:type="firstRow">
      <w:rPr>
        <w:rFonts w:cs="Times New Roman"/>
        <w:b/>
        <w:bCs/>
      </w:rPr>
    </w:tblStylePr>
    <w:tblStylePr w:type="lastRow">
      <w:rPr>
        <w:rFonts w:cs="Times New Roman"/>
        <w:b/>
        <w:bCs/>
      </w:rPr>
      <w:tcPr>
        <w:tcBorders>
          <w:top w:val="single" w:color="CF7B79" w:sz="18" w:space="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DFA7A6"/>
      </w:tcPr>
    </w:tblStylePr>
    <w:tblStylePr w:type="band1Horz">
      <w:rPr>
        <w:rFonts w:cs="Times New Roman"/>
      </w:rPr>
      <w:tcPr>
        <w:shd w:val="clear" w:color="auto" w:fill="DFA7A6"/>
      </w:tcPr>
    </w:tblStylePr>
  </w:style>
  <w:style w:type="table" w:customStyle="1" w:styleId="115">
    <w:name w:val="中等深浅底纹 21"/>
    <w:basedOn w:val="16"/>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pPr>
      <w:rPr>
        <w:rFonts w:cs="Times New Roman"/>
        <w:b/>
        <w:bCs/>
        <w:color w:val="FFFFFF"/>
      </w:rPr>
      <w:tcPr>
        <w:tcBorders>
          <w:top w:val="single" w:color="auto" w:sz="18" w:space="0"/>
          <w:left w:val="single" w:color="auto" w:sz="18" w:space="0"/>
          <w:bottom w:val="nil"/>
          <w:right w:val="nil"/>
          <w:insideH w:val="nil"/>
          <w:insideV w:val="nil"/>
          <w:tl2br w:val="nil"/>
          <w:tr2bl w:val="nil"/>
        </w:tcBorders>
        <w:shd w:val="clear" w:color="auto" w:fill="000000"/>
      </w:tcPr>
    </w:tblStylePr>
    <w:tblStylePr w:type="lastRow">
      <w:pPr>
        <w:spacing w:before="0" w:after="0"/>
      </w:pPr>
      <w:rPr>
        <w:rFonts w:cs="Times New Roman"/>
        <w:color w:val="auto"/>
      </w:r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rFonts w:cs="Times New Roman"/>
        <w:b/>
        <w:bCs/>
        <w:color w:val="FFFFFF"/>
      </w:rPr>
      <w:tcPr>
        <w:tcBorders>
          <w:top w:val="nil"/>
          <w:left w:val="single" w:color="auto" w:sz="18" w:space="0"/>
          <w:bottom w:val="nil"/>
          <w:right w:val="nil"/>
          <w:insideH w:val="nil"/>
          <w:insideV w:val="nil"/>
          <w:tl2br w:val="nil"/>
          <w:tr2bl w:val="nil"/>
        </w:tcBorders>
        <w:shd w:val="clear" w:color="auto" w:fill="000000"/>
      </w:tcPr>
    </w:tblStylePr>
    <w:tblStylePr w:type="lastCol">
      <w:rPr>
        <w:rFonts w:cs="Times New Roman"/>
        <w:b/>
        <w:bCs/>
        <w:color w:val="FFFFFF"/>
      </w:rPr>
      <w:tcPr>
        <w:tcBorders>
          <w:top w:val="nil"/>
          <w:left w:val="nil"/>
          <w:bottom w:val="nil"/>
          <w:right w:val="nil"/>
          <w:insideH w:val="nil"/>
          <w:insideV w:val="nil"/>
          <w:tl2br w:val="nil"/>
          <w:tr2bl w:val="nil"/>
        </w:tcBorders>
        <w:shd w:val="clear" w:color="auto" w:fill="000000"/>
      </w:tcPr>
    </w:tblStylePr>
    <w:tblStylePr w:type="band1Vert">
      <w:rPr>
        <w:rFonts w:cs="Times New Roman"/>
      </w:rPr>
      <w:tcPr>
        <w:tcBorders>
          <w:top w:val="nil"/>
          <w:left w:val="nil"/>
          <w:bottom w:val="nil"/>
          <w:right w:val="nil"/>
          <w:insideH w:val="nil"/>
          <w:insideV w:val="nil"/>
          <w:tl2br w:val="nil"/>
          <w:tr2bl w:val="nil"/>
        </w:tcBorders>
        <w:shd w:val="clear" w:color="auto" w:fill="D7D7D7"/>
      </w:tcPr>
    </w:tblStylePr>
    <w:tblStylePr w:type="band1Horz">
      <w:rPr>
        <w:rFonts w:cs="Times New Roman"/>
      </w:rPr>
      <w:tcPr>
        <w:shd w:val="clear" w:color="auto" w:fill="D7D7D7"/>
      </w:tcPr>
    </w:tblStylePr>
    <w:tblStylePr w:type="neCell">
      <w:rPr>
        <w:rFonts w:cs="Times New Roman"/>
      </w:rPr>
      <w:tcPr>
        <w:tcBorders>
          <w:top w:val="single" w:color="auto" w:sz="18" w:space="0"/>
          <w:left w:val="single" w:color="auto" w:sz="18" w:space="0"/>
          <w:bottom w:val="nil"/>
          <w:right w:val="nil"/>
          <w:insideH w:val="nil"/>
          <w:insideV w:val="nil"/>
          <w:tl2br w:val="nil"/>
          <w:tr2bl w:val="nil"/>
        </w:tcBorders>
      </w:tcPr>
    </w:tblStylePr>
    <w:tblStylePr w:type="nwCell">
      <w:rPr>
        <w:rFonts w:cs="Times New Roman"/>
        <w:color w:val="FFFFFF"/>
      </w:rPr>
      <w:tcPr>
        <w:tcBorders>
          <w:top w:val="single" w:color="auto" w:sz="18" w:space="0"/>
          <w:left w:val="single" w:color="auto" w:sz="18" w:space="0"/>
          <w:bottom w:val="nil"/>
          <w:right w:val="nil"/>
          <w:insideH w:val="nil"/>
          <w:insideV w:val="nil"/>
          <w:tl2br w:val="nil"/>
          <w:tr2bl w:val="nil"/>
        </w:tcBorders>
      </w:tcPr>
    </w:tblStylePr>
  </w:style>
  <w:style w:type="table" w:customStyle="1" w:styleId="116">
    <w:name w:val="Medium Grid 1 - Accent 3"/>
    <w:basedOn w:val="16"/>
    <w:qFormat/>
    <w:uiPriority w:val="67"/>
    <w:tblPr>
      <w:tblBorders>
        <w:top w:val="single" w:color="B4CC82" w:sz="8" w:space="0"/>
        <w:left w:val="single" w:color="B4CC82" w:sz="8" w:space="0"/>
        <w:bottom w:val="single" w:color="B4CC82" w:sz="8" w:space="0"/>
        <w:right w:val="single" w:color="B4CC82" w:sz="8" w:space="0"/>
        <w:insideH w:val="single" w:color="B4CC82" w:sz="8" w:space="0"/>
        <w:insideV w:val="single" w:color="B4CC82" w:sz="8" w:space="0"/>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cPr>
        <w:tcBorders>
          <w:top w:val="single" w:color="B4CC82" w:sz="18" w:space="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CDDDAC"/>
      </w:tcPr>
    </w:tblStylePr>
    <w:tblStylePr w:type="band1Horz">
      <w:rPr>
        <w:rFonts w:cs="Times New Roman"/>
      </w:rPr>
      <w:tcPr>
        <w:shd w:val="clear" w:color="auto" w:fill="CDDDAC"/>
      </w:tcPr>
    </w:tblStylePr>
  </w:style>
  <w:style w:type="table" w:customStyle="1" w:styleId="117">
    <w:name w:val="浅色列表 - 强调文字颜色 11"/>
    <w:basedOn w:val="16"/>
    <w:qFormat/>
    <w:uiPriority w:val="61"/>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pPr>
      <w:rPr>
        <w:rFonts w:cs="Times New Roman"/>
        <w:b/>
        <w:bCs/>
        <w:color w:val="FFFFFF"/>
      </w:rPr>
      <w:tcPr>
        <w:shd w:val="clear" w:color="auto" w:fill="4F81BD"/>
      </w:tcPr>
    </w:tblStylePr>
    <w:tblStylePr w:type="lastRow">
      <w:pPr>
        <w:spacing w:before="0" w:after="0"/>
      </w:pPr>
      <w:rPr>
        <w:rFonts w:cs="Times New Roman"/>
        <w:b/>
        <w:bCs/>
      </w:rPr>
      <w:tcPr>
        <w:tcBorders>
          <w:top w:val="double" w:color="4F81BD" w:sz="6" w:space="0"/>
          <w:left w:val="single" w:color="4F81BD" w:sz="8" w:space="0"/>
          <w:bottom w:val="single" w:color="4F81BD" w:sz="8" w:space="0"/>
          <w:right w:val="single" w:color="4F81BD"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Horz">
      <w:rPr>
        <w:rFonts w:cs="Times New Roman"/>
      </w:rPr>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style>
  <w:style w:type="table" w:customStyle="1" w:styleId="118">
    <w:name w:val="Medium Grid 1 - Accent 4"/>
    <w:basedOn w:val="16"/>
    <w:qFormat/>
    <w:uiPriority w:val="67"/>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
    <w:tcPr>
      <w:shd w:val="clear" w:color="auto" w:fill="DFD8E8"/>
    </w:tcPr>
    <w:tblStylePr w:type="firstRow">
      <w:rPr>
        <w:rFonts w:cs="Times New Roman"/>
        <w:b/>
        <w:bCs/>
      </w:rPr>
    </w:tblStylePr>
    <w:tblStylePr w:type="lastRow">
      <w:rPr>
        <w:rFonts w:cs="Times New Roman"/>
        <w:b/>
        <w:bCs/>
      </w:rPr>
      <w:tcPr>
        <w:tcBorders>
          <w:top w:val="single" w:color="9F8AB9" w:sz="18" w:space="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BFB1D0"/>
      </w:tcPr>
    </w:tblStylePr>
    <w:tblStylePr w:type="band1Horz">
      <w:rPr>
        <w:rFonts w:cs="Times New Roman"/>
      </w:rPr>
      <w:tcPr>
        <w:shd w:val="clear" w:color="auto" w:fill="BFB1D0"/>
      </w:tcPr>
    </w:tblStylePr>
  </w:style>
  <w:style w:type="table" w:customStyle="1" w:styleId="119">
    <w:name w:val="Medium Grid 1 - Accent 5"/>
    <w:basedOn w:val="16"/>
    <w:qFormat/>
    <w:uiPriority w:val="67"/>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CellMar>
        <w:top w:w="0" w:type="dxa"/>
        <w:left w:w="108" w:type="dxa"/>
        <w:bottom w:w="0" w:type="dxa"/>
        <w:right w:w="108" w:type="dxa"/>
      </w:tblCellMar>
    </w:tblPr>
    <w:tcPr>
      <w:shd w:val="clear" w:color="auto" w:fill="D2EAF0"/>
    </w:tcPr>
    <w:tblStylePr w:type="firstRow">
      <w:rPr>
        <w:rFonts w:cs="Times New Roman"/>
        <w:b/>
        <w:bCs/>
      </w:rPr>
    </w:tblStylePr>
    <w:tblStylePr w:type="lastRow">
      <w:rPr>
        <w:rFonts w:cs="Times New Roman"/>
        <w:b/>
        <w:bCs/>
      </w:rPr>
      <w:tcPr>
        <w:tcBorders>
          <w:top w:val="single" w:color="78C0D4" w:sz="18" w:space="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A5D5E2"/>
      </w:tcPr>
    </w:tblStylePr>
    <w:tblStylePr w:type="band1Horz">
      <w:rPr>
        <w:rFonts w:cs="Times New Roman"/>
      </w:rPr>
      <w:tcPr>
        <w:shd w:val="clear" w:color="auto" w:fill="A5D5E2"/>
      </w:tcPr>
    </w:tblStylePr>
  </w:style>
  <w:style w:type="table" w:customStyle="1" w:styleId="120">
    <w:name w:val="Medium Grid 1 - Accent 6"/>
    <w:basedOn w:val="16"/>
    <w:qFormat/>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CellMar>
        <w:top w:w="0" w:type="dxa"/>
        <w:left w:w="108" w:type="dxa"/>
        <w:bottom w:w="0" w:type="dxa"/>
        <w:right w:w="108" w:type="dxa"/>
      </w:tblCellMar>
    </w:tblPr>
    <w:tcPr>
      <w:shd w:val="clear" w:color="auto" w:fill="FDE5D1"/>
    </w:tcPr>
    <w:tblStylePr w:type="firstRow">
      <w:rPr>
        <w:rFonts w:cs="Times New Roman"/>
        <w:b/>
        <w:bCs/>
      </w:rPr>
    </w:tblStylePr>
    <w:tblStylePr w:type="lastRow">
      <w:rPr>
        <w:rFonts w:cs="Times New Roman"/>
        <w:b/>
        <w:bCs/>
      </w:rPr>
      <w:tcPr>
        <w:tcBorders>
          <w:top w:val="single" w:color="F9B074" w:sz="18" w:space="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FBCAA2"/>
      </w:tcPr>
    </w:tblStylePr>
    <w:tblStylePr w:type="band1Horz">
      <w:rPr>
        <w:rFonts w:cs="Times New Roman"/>
      </w:rPr>
      <w:tcPr>
        <w:shd w:val="clear" w:color="auto" w:fill="FBCAA2"/>
      </w:tcPr>
    </w:tblStylePr>
  </w:style>
  <w:style w:type="table" w:customStyle="1" w:styleId="121">
    <w:name w:val="Medium Grid 2 - Accent 3"/>
    <w:basedOn w:val="16"/>
    <w:qFormat/>
    <w:uiPriority w:val="68"/>
    <w:rPr>
      <w:rFonts w:ascii="Cambria" w:hAnsi="Cambria"/>
      <w:color w:val="00000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
    <w:tcPr>
      <w:shd w:val="clear" w:color="auto" w:fill="E6EED5"/>
    </w:tcPr>
    <w:tblStylePr w:type="firstRow">
      <w:rPr>
        <w:rFonts w:cs="Times New Roman"/>
        <w:b/>
        <w:bCs/>
        <w:color w:val="000000"/>
      </w:rPr>
      <w:tcPr>
        <w:shd w:val="clear" w:color="auto" w:fill="F5F8EE"/>
      </w:tcPr>
    </w:tblStylePr>
    <w:tblStylePr w:type="lastRow">
      <w:rPr>
        <w:rFonts w:cs="Times New Roman"/>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color w:val="000000"/>
      </w:rPr>
      <w:tcPr>
        <w:tcBorders>
          <w:top w:val="nil"/>
          <w:left w:val="nil"/>
          <w:bottom w:val="nil"/>
          <w:right w:val="nil"/>
          <w:insideH w:val="nil"/>
          <w:insideV w:val="nil"/>
          <w:tl2br w:val="nil"/>
          <w:tr2bl w:val="nil"/>
        </w:tcBorders>
        <w:shd w:val="clear" w:color="auto" w:fill="FFFFFF"/>
      </w:tcPr>
    </w:tblStylePr>
    <w:tblStylePr w:type="lastCol">
      <w:rPr>
        <w:rFonts w:cs="Times New Roman"/>
        <w:b w:val="0"/>
        <w:bCs w:val="0"/>
        <w:color w:val="000000"/>
      </w:rPr>
      <w:tcPr>
        <w:tcBorders>
          <w:top w:val="nil"/>
          <w:left w:val="nil"/>
          <w:bottom w:val="nil"/>
          <w:right w:val="nil"/>
          <w:insideH w:val="nil"/>
          <w:insideV w:val="nil"/>
          <w:tl2br w:val="nil"/>
          <w:tr2bl w:val="nil"/>
        </w:tcBorders>
        <w:shd w:val="clear" w:color="auto" w:fill="EAF1DD"/>
      </w:tcPr>
    </w:tblStylePr>
    <w:tblStylePr w:type="band1Vert">
      <w:rPr>
        <w:rFonts w:cs="Times New Roman"/>
      </w:rPr>
      <w:tcPr>
        <w:shd w:val="clear" w:color="auto" w:fill="CDDDAC"/>
      </w:tcPr>
    </w:tblStylePr>
    <w:tblStylePr w:type="band1Horz">
      <w:rPr>
        <w:rFonts w:cs="Times New Roman"/>
      </w:rPr>
      <w:tcPr>
        <w:shd w:val="clear" w:color="auto" w:fill="CDDDAC"/>
      </w:tcPr>
    </w:tblStylePr>
    <w:tblStylePr w:type="nwCell">
      <w:rPr>
        <w:rFonts w:cs="Times New Roman"/>
      </w:rPr>
      <w:tcPr>
        <w:shd w:val="clear" w:color="auto" w:fill="FFFFFF"/>
      </w:tcPr>
    </w:tblStylePr>
  </w:style>
  <w:style w:type="table" w:customStyle="1" w:styleId="122">
    <w:name w:val="Medium Grid 2 - Accent 5"/>
    <w:basedOn w:val="16"/>
    <w:qFormat/>
    <w:uiPriority w:val="68"/>
    <w:rPr>
      <w:rFonts w:ascii="Cambria" w:hAnsi="Cambria"/>
      <w:color w:val="00000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CellMar>
        <w:top w:w="0" w:type="dxa"/>
        <w:left w:w="108" w:type="dxa"/>
        <w:bottom w:w="0" w:type="dxa"/>
        <w:right w:w="108" w:type="dxa"/>
      </w:tblCellMar>
    </w:tblPr>
    <w:tcPr>
      <w:shd w:val="clear" w:color="auto" w:fill="D2EAF0"/>
    </w:tcPr>
    <w:tblStylePr w:type="firstRow">
      <w:rPr>
        <w:rFonts w:cs="Times New Roman"/>
        <w:b/>
        <w:bCs/>
        <w:color w:val="000000"/>
      </w:rPr>
      <w:tcPr>
        <w:shd w:val="clear" w:color="auto" w:fill="EDF6F9"/>
      </w:tcPr>
    </w:tblStylePr>
    <w:tblStylePr w:type="lastRow">
      <w:rPr>
        <w:rFonts w:cs="Times New Roman"/>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color w:val="000000"/>
      </w:rPr>
      <w:tcPr>
        <w:tcBorders>
          <w:top w:val="nil"/>
          <w:left w:val="nil"/>
          <w:bottom w:val="nil"/>
          <w:right w:val="nil"/>
          <w:insideH w:val="nil"/>
          <w:insideV w:val="nil"/>
          <w:tl2br w:val="nil"/>
          <w:tr2bl w:val="nil"/>
        </w:tcBorders>
        <w:shd w:val="clear" w:color="auto" w:fill="FFFFFF"/>
      </w:tcPr>
    </w:tblStylePr>
    <w:tblStylePr w:type="lastCol">
      <w:rPr>
        <w:rFonts w:cs="Times New Roman"/>
        <w:b w:val="0"/>
        <w:bCs w:val="0"/>
        <w:color w:val="000000"/>
      </w:rPr>
      <w:tcPr>
        <w:tcBorders>
          <w:top w:val="nil"/>
          <w:left w:val="nil"/>
          <w:bottom w:val="nil"/>
          <w:right w:val="nil"/>
          <w:insideH w:val="nil"/>
          <w:insideV w:val="nil"/>
          <w:tl2br w:val="nil"/>
          <w:tr2bl w:val="nil"/>
        </w:tcBorders>
        <w:shd w:val="clear" w:color="auto" w:fill="DAEEF3"/>
      </w:tcPr>
    </w:tblStylePr>
    <w:tblStylePr w:type="band1Vert">
      <w:rPr>
        <w:rFonts w:cs="Times New Roman"/>
      </w:rPr>
      <w:tcPr>
        <w:shd w:val="clear" w:color="auto" w:fill="A5D5E2"/>
      </w:tcPr>
    </w:tblStylePr>
    <w:tblStylePr w:type="band1Horz">
      <w:rPr>
        <w:rFonts w:cs="Times New Roman"/>
      </w:rPr>
      <w:tcPr>
        <w:shd w:val="clear" w:color="auto" w:fill="A5D5E2"/>
      </w:tcPr>
    </w:tblStylePr>
    <w:tblStylePr w:type="nwCell">
      <w:rPr>
        <w:rFonts w:cs="Times New Roman"/>
      </w:rPr>
      <w:tcPr>
        <w:shd w:val="clear" w:color="auto" w:fill="FFFFFF"/>
      </w:tcPr>
    </w:tblStylePr>
  </w:style>
  <w:style w:type="table" w:customStyle="1" w:styleId="123">
    <w:name w:val="Medium Grid 3 - Accent 1"/>
    <w:basedOn w:val="16"/>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4F81BD"/>
      </w:tcPr>
    </w:tblStylePr>
    <w:tblStylePr w:type="lastRow">
      <w:rPr>
        <w:rFonts w:cs="Times New Roman"/>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F81BD"/>
      </w:tcPr>
    </w:tblStylePr>
    <w:tblStylePr w:type="firstCol">
      <w:rPr>
        <w:rFonts w:cs="Times New Roman"/>
        <w:b/>
        <w:bCs/>
        <w:i w:val="0"/>
        <w:iCs w:val="0"/>
        <w:color w:val="FFFFFF"/>
      </w:rPr>
      <w:tcPr>
        <w:tcBorders>
          <w:top w:val="nil"/>
          <w:left w:val="nil"/>
          <w:bottom w:val="single" w:color="FFFFFF" w:sz="8" w:space="0"/>
          <w:right w:val="single" w:color="FFFFFF" w:sz="24" w:space="0"/>
          <w:insideH w:val="nil"/>
          <w:insideV w:val="nil"/>
          <w:tl2br w:val="nil"/>
          <w:tr2bl w:val="nil"/>
        </w:tcBorders>
        <w:shd w:val="clear" w:color="auto" w:fill="4F81BD"/>
      </w:tcPr>
    </w:tblStylePr>
    <w:tblStylePr w:type="lastCol">
      <w:rPr>
        <w:rFonts w:cs="Times New Roman"/>
        <w:b/>
        <w:bCs/>
        <w:i w:val="0"/>
        <w:iCs w:val="0"/>
        <w:color w:val="FFFFFF"/>
      </w:rPr>
      <w:tcPr>
        <w:tcBorders>
          <w:top w:val="nil"/>
          <w:left w:val="nil"/>
          <w:bottom w:val="single" w:color="FFFFFF" w:sz="24" w:space="0"/>
          <w:right w:val="nil"/>
          <w:insideH w:val="nil"/>
          <w:insideV w:val="nil"/>
          <w:tl2br w:val="nil"/>
          <w:tr2bl w:val="nil"/>
        </w:tcBorders>
        <w:shd w:val="clear" w:color="auto" w:fill="4F81BD"/>
      </w:tcPr>
    </w:tblStylePr>
    <w:tblStylePr w:type="band1Vert">
      <w:rPr>
        <w:rFonts w:cs="Times New Roman"/>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C0DE"/>
      </w:tcPr>
    </w:tblStylePr>
    <w:tblStylePr w:type="band1Horz">
      <w:rPr>
        <w:rFonts w:cs="Times New Roman"/>
      </w:r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7C0DE"/>
      </w:tcPr>
    </w:tblStylePr>
  </w:style>
  <w:style w:type="table" w:customStyle="1" w:styleId="124">
    <w:name w:val="Medium Grid 3 - Accent 2"/>
    <w:basedOn w:val="16"/>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EFD3D3"/>
    </w:tcPr>
    <w:tblStylePr w:type="firstRow">
      <w:rPr>
        <w:rFonts w:cs="Times New Roman"/>
        <w:b/>
        <w:bCs/>
        <w:i w:val="0"/>
        <w:iCs w:val="0"/>
        <w:color w:val="FFFFFF"/>
      </w:r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C0504D"/>
      </w:tcPr>
    </w:tblStylePr>
    <w:tblStylePr w:type="lastRow">
      <w:rPr>
        <w:rFonts w:cs="Times New Roman"/>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C0504D"/>
      </w:tcPr>
    </w:tblStylePr>
    <w:tblStylePr w:type="firstCol">
      <w:rPr>
        <w:rFonts w:cs="Times New Roman"/>
        <w:b/>
        <w:bCs/>
        <w:i w:val="0"/>
        <w:iCs w:val="0"/>
        <w:color w:val="FFFFFF"/>
      </w:rPr>
      <w:tcPr>
        <w:tcBorders>
          <w:top w:val="nil"/>
          <w:left w:val="nil"/>
          <w:bottom w:val="single" w:color="FFFFFF" w:sz="8" w:space="0"/>
          <w:right w:val="single" w:color="FFFFFF" w:sz="24" w:space="0"/>
          <w:insideH w:val="nil"/>
          <w:insideV w:val="nil"/>
          <w:tl2br w:val="nil"/>
          <w:tr2bl w:val="nil"/>
        </w:tcBorders>
        <w:shd w:val="clear" w:color="auto" w:fill="C0504D"/>
      </w:tcPr>
    </w:tblStylePr>
    <w:tblStylePr w:type="lastCol">
      <w:rPr>
        <w:rFonts w:cs="Times New Roman"/>
        <w:b/>
        <w:bCs/>
        <w:i w:val="0"/>
        <w:iCs w:val="0"/>
        <w:color w:val="FFFFFF"/>
      </w:rPr>
      <w:tcPr>
        <w:tcBorders>
          <w:top w:val="nil"/>
          <w:left w:val="nil"/>
          <w:bottom w:val="single" w:color="FFFFFF" w:sz="24" w:space="0"/>
          <w:right w:val="nil"/>
          <w:insideH w:val="nil"/>
          <w:insideV w:val="nil"/>
          <w:tl2br w:val="nil"/>
          <w:tr2bl w:val="nil"/>
        </w:tcBorders>
        <w:shd w:val="clear" w:color="auto" w:fill="C0504D"/>
      </w:tcPr>
    </w:tblStylePr>
    <w:tblStylePr w:type="band1Vert">
      <w:rPr>
        <w:rFonts w:cs="Times New Roman"/>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DFA7A6"/>
      </w:tcPr>
    </w:tblStylePr>
    <w:tblStylePr w:type="band1Horz">
      <w:rPr>
        <w:rFonts w:cs="Times New Roman"/>
      </w:r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DFA7A6"/>
      </w:tcPr>
    </w:tblStylePr>
  </w:style>
  <w:style w:type="table" w:customStyle="1" w:styleId="125">
    <w:name w:val="Medium Grid 3 - Accent 4"/>
    <w:basedOn w:val="16"/>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8064A2"/>
      </w:tcPr>
    </w:tblStylePr>
    <w:tblStylePr w:type="lastRow">
      <w:rPr>
        <w:rFonts w:cs="Times New Roman"/>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8064A2"/>
      </w:tcPr>
    </w:tblStylePr>
    <w:tblStylePr w:type="firstCol">
      <w:rPr>
        <w:rFonts w:cs="Times New Roman"/>
        <w:b/>
        <w:bCs/>
        <w:i w:val="0"/>
        <w:iCs w:val="0"/>
        <w:color w:val="FFFFFF"/>
      </w:rPr>
      <w:tcPr>
        <w:tcBorders>
          <w:top w:val="nil"/>
          <w:left w:val="nil"/>
          <w:bottom w:val="single" w:color="FFFFFF" w:sz="8" w:space="0"/>
          <w:right w:val="single" w:color="FFFFFF" w:sz="24" w:space="0"/>
          <w:insideH w:val="nil"/>
          <w:insideV w:val="nil"/>
          <w:tl2br w:val="nil"/>
          <w:tr2bl w:val="nil"/>
        </w:tcBorders>
        <w:shd w:val="clear" w:color="auto" w:fill="8064A2"/>
      </w:tcPr>
    </w:tblStylePr>
    <w:tblStylePr w:type="lastCol">
      <w:rPr>
        <w:rFonts w:cs="Times New Roman"/>
        <w:b/>
        <w:bCs/>
        <w:i w:val="0"/>
        <w:iCs w:val="0"/>
        <w:color w:val="FFFFFF"/>
      </w:rPr>
      <w:tcPr>
        <w:tcBorders>
          <w:top w:val="nil"/>
          <w:left w:val="nil"/>
          <w:bottom w:val="single" w:color="FFFFFF" w:sz="24" w:space="0"/>
          <w:right w:val="nil"/>
          <w:insideH w:val="nil"/>
          <w:insideV w:val="nil"/>
          <w:tl2br w:val="nil"/>
          <w:tr2bl w:val="nil"/>
        </w:tcBorders>
        <w:shd w:val="clear" w:color="auto" w:fill="8064A2"/>
      </w:tcPr>
    </w:tblStylePr>
    <w:tblStylePr w:type="band1Vert">
      <w:rPr>
        <w:rFonts w:cs="Times New Roman"/>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BFB1D0"/>
      </w:tcPr>
    </w:tblStylePr>
    <w:tblStylePr w:type="band1Horz">
      <w:rPr>
        <w:rFonts w:cs="Times New Roman"/>
      </w:r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BFB1D0"/>
      </w:tcPr>
    </w:tblStylePr>
  </w:style>
  <w:style w:type="table" w:customStyle="1" w:styleId="126">
    <w:name w:val="Medium Grid 3 - Accent 5"/>
    <w:basedOn w:val="16"/>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D2EAF0"/>
    </w:tcPr>
    <w:tblStylePr w:type="firstRow">
      <w:rPr>
        <w:rFonts w:cs="Times New Roman"/>
        <w:b/>
        <w:bCs/>
        <w:i w:val="0"/>
        <w:iCs w:val="0"/>
        <w:color w:val="FFFFFF"/>
      </w:r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4BACC6"/>
      </w:tcPr>
    </w:tblStylePr>
    <w:tblStylePr w:type="lastRow">
      <w:rPr>
        <w:rFonts w:cs="Times New Roman"/>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BACC6"/>
      </w:tcPr>
    </w:tblStylePr>
    <w:tblStylePr w:type="firstCol">
      <w:rPr>
        <w:rFonts w:cs="Times New Roman"/>
        <w:b/>
        <w:bCs/>
        <w:i w:val="0"/>
        <w:iCs w:val="0"/>
        <w:color w:val="FFFFFF"/>
      </w:rPr>
      <w:tcPr>
        <w:tcBorders>
          <w:top w:val="nil"/>
          <w:left w:val="nil"/>
          <w:bottom w:val="single" w:color="FFFFFF" w:sz="8" w:space="0"/>
          <w:right w:val="single" w:color="FFFFFF" w:sz="24" w:space="0"/>
          <w:insideH w:val="nil"/>
          <w:insideV w:val="nil"/>
          <w:tl2br w:val="nil"/>
          <w:tr2bl w:val="nil"/>
        </w:tcBorders>
        <w:shd w:val="clear" w:color="auto" w:fill="4BACC6"/>
      </w:tcPr>
    </w:tblStylePr>
    <w:tblStylePr w:type="lastCol">
      <w:rPr>
        <w:rFonts w:cs="Times New Roman"/>
        <w:b/>
        <w:bCs/>
        <w:i w:val="0"/>
        <w:iCs w:val="0"/>
        <w:color w:val="FFFFFF"/>
      </w:rPr>
      <w:tcPr>
        <w:tcBorders>
          <w:top w:val="nil"/>
          <w:left w:val="nil"/>
          <w:bottom w:val="single" w:color="FFFFFF" w:sz="24" w:space="0"/>
          <w:right w:val="nil"/>
          <w:insideH w:val="nil"/>
          <w:insideV w:val="nil"/>
          <w:tl2br w:val="nil"/>
          <w:tr2bl w:val="nil"/>
        </w:tcBorders>
        <w:shd w:val="clear" w:color="auto" w:fill="4BACC6"/>
      </w:tcPr>
    </w:tblStylePr>
    <w:tblStylePr w:type="band1Vert">
      <w:rPr>
        <w:rFonts w:cs="Times New Roman"/>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5D5E2"/>
      </w:tcPr>
    </w:tblStylePr>
    <w:tblStylePr w:type="band1Horz">
      <w:rPr>
        <w:rFonts w:cs="Times New Roman"/>
      </w:r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5D5E2"/>
      </w:tcPr>
    </w:tblStylePr>
  </w:style>
  <w:style w:type="table" w:customStyle="1" w:styleId="127">
    <w:name w:val="Medium Grid 3 - Accent 6"/>
    <w:basedOn w:val="16"/>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FDE5D1"/>
    </w:tcPr>
    <w:tblStylePr w:type="firstRow">
      <w:rPr>
        <w:rFonts w:cs="Times New Roman"/>
        <w:b/>
        <w:bCs/>
        <w:i w:val="0"/>
        <w:iCs w:val="0"/>
        <w:color w:val="FFFFFF"/>
      </w:r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F79646"/>
      </w:tcPr>
    </w:tblStylePr>
    <w:tblStylePr w:type="lastRow">
      <w:rPr>
        <w:rFonts w:cs="Times New Roman"/>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F79646"/>
      </w:tcPr>
    </w:tblStylePr>
    <w:tblStylePr w:type="firstCol">
      <w:rPr>
        <w:rFonts w:cs="Times New Roman"/>
        <w:b/>
        <w:bCs/>
        <w:i w:val="0"/>
        <w:iCs w:val="0"/>
        <w:color w:val="FFFFFF"/>
      </w:rPr>
      <w:tcPr>
        <w:tcBorders>
          <w:top w:val="nil"/>
          <w:left w:val="nil"/>
          <w:bottom w:val="single" w:color="FFFFFF" w:sz="8" w:space="0"/>
          <w:right w:val="single" w:color="FFFFFF" w:sz="24" w:space="0"/>
          <w:insideH w:val="nil"/>
          <w:insideV w:val="nil"/>
          <w:tl2br w:val="nil"/>
          <w:tr2bl w:val="nil"/>
        </w:tcBorders>
        <w:shd w:val="clear" w:color="auto" w:fill="F79646"/>
      </w:tcPr>
    </w:tblStylePr>
    <w:tblStylePr w:type="lastCol">
      <w:rPr>
        <w:rFonts w:cs="Times New Roman"/>
        <w:b/>
        <w:bCs/>
        <w:i w:val="0"/>
        <w:iCs w:val="0"/>
        <w:color w:val="FFFFFF"/>
      </w:rPr>
      <w:tcPr>
        <w:tcBorders>
          <w:top w:val="nil"/>
          <w:left w:val="nil"/>
          <w:bottom w:val="single" w:color="FFFFFF" w:sz="24" w:space="0"/>
          <w:right w:val="nil"/>
          <w:insideH w:val="nil"/>
          <w:insideV w:val="nil"/>
          <w:tl2br w:val="nil"/>
          <w:tr2bl w:val="nil"/>
        </w:tcBorders>
        <w:shd w:val="clear" w:color="auto" w:fill="F79646"/>
      </w:tcPr>
    </w:tblStylePr>
    <w:tblStylePr w:type="band1Vert">
      <w:rPr>
        <w:rFonts w:cs="Times New Roman"/>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FBCAA2"/>
      </w:tcPr>
    </w:tblStylePr>
    <w:tblStylePr w:type="band1Horz">
      <w:rPr>
        <w:rFonts w:cs="Times New Roman"/>
      </w:r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FBCAA2"/>
      </w:tcPr>
    </w:tblStylePr>
  </w:style>
  <w:style w:type="table" w:customStyle="1" w:styleId="128">
    <w:name w:val="Dark List - Accent 5"/>
    <w:basedOn w:val="16"/>
    <w:qFormat/>
    <w:uiPriority w:val="70"/>
    <w:rPr>
      <w:color w:val="FFFFFF"/>
    </w:rPr>
    <w:tblPr>
      <w:tblCellMar>
        <w:top w:w="0" w:type="dxa"/>
        <w:left w:w="108" w:type="dxa"/>
        <w:bottom w:w="0" w:type="dxa"/>
        <w:right w:w="108" w:type="dxa"/>
      </w:tblCellMar>
    </w:tblPr>
    <w:tcPr>
      <w:shd w:val="clear" w:color="auto" w:fill="4BACC6"/>
    </w:tcPr>
    <w:tblStylePr w:type="firstRow">
      <w:rPr>
        <w:rFonts w:cs="Times New Roman"/>
        <w:b/>
        <w:bCs/>
      </w:rPr>
      <w:tcPr>
        <w:tcBorders>
          <w:top w:val="nil"/>
          <w:left w:val="single" w:color="FFFFFF" w:sz="18" w:space="0"/>
          <w:bottom w:val="nil"/>
          <w:right w:val="nil"/>
          <w:insideH w:val="nil"/>
          <w:insideV w:val="nil"/>
          <w:tl2br w:val="nil"/>
          <w:tr2bl w:val="nil"/>
        </w:tcBorders>
        <w:shd w:val="clear" w:color="auto" w:fill="000000"/>
      </w:tcPr>
    </w:tblStylePr>
    <w:tblStylePr w:type="lastRow">
      <w:rPr>
        <w:rFonts w:cs="Times New Roman"/>
      </w:rPr>
      <w:tcPr>
        <w:tcBorders>
          <w:top w:val="single" w:color="FFFFFF" w:sz="18" w:space="0"/>
          <w:left w:val="nil"/>
          <w:bottom w:val="nil"/>
          <w:right w:val="nil"/>
          <w:insideH w:val="nil"/>
          <w:insideV w:val="nil"/>
          <w:tl2br w:val="nil"/>
          <w:tr2bl w:val="nil"/>
        </w:tcBorders>
        <w:shd w:val="clear" w:color="auto" w:fill="205867"/>
      </w:tcPr>
    </w:tblStylePr>
    <w:tblStylePr w:type="firstCol">
      <w:rPr>
        <w:rFonts w:cs="Times New Roman"/>
      </w:rPr>
      <w:tcPr>
        <w:tcBorders>
          <w:top w:val="nil"/>
          <w:left w:val="nil"/>
          <w:bottom w:val="nil"/>
          <w:right w:val="single" w:color="FFFFFF" w:sz="18" w:space="0"/>
          <w:insideH w:val="nil"/>
          <w:insideV w:val="nil"/>
          <w:tl2br w:val="nil"/>
          <w:tr2bl w:val="nil"/>
        </w:tcBorders>
        <w:shd w:val="clear" w:color="auto" w:fill="31849B"/>
      </w:tcPr>
    </w:tblStylePr>
    <w:tblStylePr w:type="lastCol">
      <w:rPr>
        <w:rFonts w:cs="Times New Roman"/>
      </w:rPr>
      <w:tcPr>
        <w:tcBorders>
          <w:top w:val="nil"/>
          <w:left w:val="nil"/>
          <w:bottom w:val="single" w:color="FFFFFF" w:sz="18" w:space="0"/>
          <w:right w:val="nil"/>
          <w:insideH w:val="nil"/>
          <w:insideV w:val="nil"/>
          <w:tl2br w:val="nil"/>
          <w:tr2bl w:val="nil"/>
        </w:tcBorders>
        <w:shd w:val="clear" w:color="auto" w:fill="31849B"/>
      </w:tcPr>
    </w:tblStylePr>
    <w:tblStylePr w:type="band1Vert">
      <w:rPr>
        <w:rFonts w:cs="Times New Roman"/>
      </w:rPr>
      <w:tcPr>
        <w:tcBorders>
          <w:top w:val="nil"/>
          <w:left w:val="nil"/>
          <w:bottom w:val="nil"/>
          <w:right w:val="nil"/>
          <w:insideH w:val="nil"/>
          <w:insideV w:val="nil"/>
          <w:tl2br w:val="nil"/>
          <w:tr2bl w:val="nil"/>
        </w:tcBorders>
        <w:shd w:val="clear" w:color="auto" w:fill="31849B"/>
      </w:tcPr>
    </w:tblStylePr>
    <w:tblStylePr w:type="band1Horz">
      <w:rPr>
        <w:rFonts w:cs="Times New Roman"/>
      </w:rPr>
      <w:tcPr>
        <w:tcBorders>
          <w:top w:val="nil"/>
          <w:left w:val="nil"/>
          <w:bottom w:val="nil"/>
          <w:right w:val="nil"/>
          <w:insideH w:val="nil"/>
          <w:insideV w:val="nil"/>
          <w:tl2br w:val="nil"/>
          <w:tr2bl w:val="nil"/>
        </w:tcBorders>
        <w:shd w:val="clear" w:color="auto" w:fill="31849B"/>
      </w:tcPr>
    </w:tblStylePr>
  </w:style>
  <w:style w:type="table" w:customStyle="1" w:styleId="129">
    <w:name w:val="Dark List - Accent 6"/>
    <w:basedOn w:val="16"/>
    <w:qFormat/>
    <w:uiPriority w:val="70"/>
    <w:rPr>
      <w:color w:val="FFFFFF"/>
    </w:rPr>
    <w:tblPr>
      <w:tblCellMar>
        <w:top w:w="0" w:type="dxa"/>
        <w:left w:w="108" w:type="dxa"/>
        <w:bottom w:w="0" w:type="dxa"/>
        <w:right w:w="108" w:type="dxa"/>
      </w:tblCellMar>
    </w:tblPr>
    <w:tcPr>
      <w:shd w:val="clear" w:color="auto" w:fill="F79646"/>
    </w:tcPr>
    <w:tblStylePr w:type="firstRow">
      <w:rPr>
        <w:rFonts w:cs="Times New Roman"/>
        <w:b/>
        <w:bCs/>
      </w:rPr>
      <w:tcPr>
        <w:tcBorders>
          <w:top w:val="nil"/>
          <w:left w:val="single" w:color="FFFFFF" w:sz="18" w:space="0"/>
          <w:bottom w:val="nil"/>
          <w:right w:val="nil"/>
          <w:insideH w:val="nil"/>
          <w:insideV w:val="nil"/>
          <w:tl2br w:val="nil"/>
          <w:tr2bl w:val="nil"/>
        </w:tcBorders>
        <w:shd w:val="clear" w:color="auto" w:fill="000000"/>
      </w:tcPr>
    </w:tblStylePr>
    <w:tblStylePr w:type="lastRow">
      <w:rPr>
        <w:rFonts w:cs="Times New Roman"/>
      </w:rPr>
      <w:tcPr>
        <w:tcBorders>
          <w:top w:val="single" w:color="FFFFFF" w:sz="18" w:space="0"/>
          <w:left w:val="nil"/>
          <w:bottom w:val="nil"/>
          <w:right w:val="nil"/>
          <w:insideH w:val="nil"/>
          <w:insideV w:val="nil"/>
          <w:tl2br w:val="nil"/>
          <w:tr2bl w:val="nil"/>
        </w:tcBorders>
        <w:shd w:val="clear" w:color="auto" w:fill="974706"/>
      </w:tcPr>
    </w:tblStylePr>
    <w:tblStylePr w:type="firstCol">
      <w:rPr>
        <w:rFonts w:cs="Times New Roman"/>
      </w:rPr>
      <w:tcPr>
        <w:tcBorders>
          <w:top w:val="nil"/>
          <w:left w:val="nil"/>
          <w:bottom w:val="nil"/>
          <w:right w:val="single" w:color="FFFFFF" w:sz="18" w:space="0"/>
          <w:insideH w:val="nil"/>
          <w:insideV w:val="nil"/>
          <w:tl2br w:val="nil"/>
          <w:tr2bl w:val="nil"/>
        </w:tcBorders>
        <w:shd w:val="clear" w:color="auto" w:fill="E36C09"/>
      </w:tcPr>
    </w:tblStylePr>
    <w:tblStylePr w:type="lastCol">
      <w:rPr>
        <w:rFonts w:cs="Times New Roman"/>
      </w:rPr>
      <w:tcPr>
        <w:tcBorders>
          <w:top w:val="nil"/>
          <w:left w:val="nil"/>
          <w:bottom w:val="single" w:color="FFFFFF" w:sz="18" w:space="0"/>
          <w:right w:val="nil"/>
          <w:insideH w:val="nil"/>
          <w:insideV w:val="nil"/>
          <w:tl2br w:val="nil"/>
          <w:tr2bl w:val="nil"/>
        </w:tcBorders>
        <w:shd w:val="clear" w:color="auto" w:fill="E36C09"/>
      </w:tcPr>
    </w:tblStylePr>
    <w:tblStylePr w:type="band1Vert">
      <w:rPr>
        <w:rFonts w:cs="Times New Roman"/>
      </w:rPr>
      <w:tcPr>
        <w:tcBorders>
          <w:top w:val="nil"/>
          <w:left w:val="nil"/>
          <w:bottom w:val="nil"/>
          <w:right w:val="nil"/>
          <w:insideH w:val="nil"/>
          <w:insideV w:val="nil"/>
          <w:tl2br w:val="nil"/>
          <w:tr2bl w:val="nil"/>
        </w:tcBorders>
        <w:shd w:val="clear" w:color="auto" w:fill="E36C09"/>
      </w:tcPr>
    </w:tblStylePr>
    <w:tblStylePr w:type="band1Horz">
      <w:rPr>
        <w:rFonts w:cs="Times New Roman"/>
      </w:rPr>
      <w:tcPr>
        <w:tcBorders>
          <w:top w:val="nil"/>
          <w:left w:val="nil"/>
          <w:bottom w:val="nil"/>
          <w:right w:val="nil"/>
          <w:insideH w:val="nil"/>
          <w:insideV w:val="nil"/>
          <w:tl2br w:val="nil"/>
          <w:tr2bl w:val="nil"/>
        </w:tcBorders>
        <w:shd w:val="clear" w:color="auto" w:fill="E36C09"/>
      </w:tcPr>
    </w:tblStylePr>
  </w:style>
  <w:style w:type="table" w:customStyle="1" w:styleId="130">
    <w:name w:val="Colorful Shading - Accent 1"/>
    <w:basedOn w:val="16"/>
    <w:qFormat/>
    <w:uiPriority w:val="71"/>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CellMar>
        <w:top w:w="0" w:type="dxa"/>
        <w:left w:w="108" w:type="dxa"/>
        <w:bottom w:w="0" w:type="dxa"/>
        <w:right w:w="108" w:type="dxa"/>
      </w:tblCellMar>
    </w:tblPr>
    <w:tcPr>
      <w:shd w:val="clear" w:color="auto" w:fill="EDF2F8"/>
    </w:tcPr>
    <w:tblStylePr w:type="firstRow">
      <w:rPr>
        <w:rFonts w:cs="Times New Roman"/>
        <w:b/>
        <w:bCs/>
      </w:rPr>
      <w:tcPr>
        <w:tcBorders>
          <w:top w:val="nil"/>
          <w:left w:val="single" w:color="C0504D" w:sz="24" w:space="0"/>
          <w:bottom w:val="nil"/>
          <w:right w:val="nil"/>
          <w:insideH w:val="nil"/>
          <w:insideV w:val="nil"/>
          <w:tl2br w:val="nil"/>
          <w:tr2bl w:val="nil"/>
        </w:tcBorders>
        <w:shd w:val="clear" w:color="auto" w:fill="FFFFFF"/>
      </w:tcPr>
    </w:tblStylePr>
    <w:tblStylePr w:type="lastRow">
      <w:rPr>
        <w:rFonts w:cs="Times New Roman"/>
        <w:b/>
        <w:bCs/>
        <w:color w:val="FFFFFF"/>
      </w:rPr>
      <w:tcPr>
        <w:tcBorders>
          <w:top w:val="single" w:color="FFFFFF" w:sz="6" w:space="0"/>
          <w:left w:val="nil"/>
          <w:bottom w:val="nil"/>
          <w:right w:val="nil"/>
          <w:insideH w:val="nil"/>
          <w:insideV w:val="nil"/>
          <w:tl2br w:val="nil"/>
          <w:tr2bl w:val="nil"/>
        </w:tcBorders>
        <w:shd w:val="clear" w:color="auto" w:fill="2B4D74"/>
      </w:tcPr>
    </w:tblStylePr>
    <w:tblStylePr w:type="firstCol">
      <w:rPr>
        <w:rFonts w:cs="Times New Roman"/>
        <w:color w:val="FFFFFF"/>
      </w:rPr>
      <w:tcPr>
        <w:tcBorders>
          <w:top w:val="nil"/>
          <w:left w:val="nil"/>
          <w:bottom w:val="nil"/>
          <w:right w:val="nil"/>
          <w:insideH w:val="single" w:sz="4" w:space="0"/>
          <w:insideV w:val="nil"/>
          <w:tl2br w:val="nil"/>
          <w:tr2bl w:val="nil"/>
        </w:tcBorders>
        <w:shd w:val="clear" w:color="auto" w:fill="2B4D74"/>
      </w:tcPr>
    </w:tblStylePr>
    <w:tblStylePr w:type="lastCol">
      <w:rPr>
        <w:rFonts w:cs="Times New Roman"/>
        <w:color w:val="FFFFFF"/>
      </w:rPr>
      <w:tcPr>
        <w:tcBorders>
          <w:top w:val="nil"/>
          <w:left w:val="nil"/>
          <w:bottom w:val="nil"/>
          <w:right w:val="nil"/>
          <w:insideH w:val="nil"/>
          <w:insideV w:val="nil"/>
          <w:tl2br w:val="nil"/>
          <w:tr2bl w:val="nil"/>
        </w:tcBorders>
        <w:shd w:val="clear" w:color="auto" w:fill="2B4D74"/>
      </w:tcPr>
    </w:tblStylePr>
    <w:tblStylePr w:type="band1Vert">
      <w:rPr>
        <w:rFonts w:cs="Times New Roman"/>
      </w:rPr>
      <w:tcPr>
        <w:shd w:val="clear" w:color="auto" w:fill="B8CCE4"/>
      </w:tcPr>
    </w:tblStylePr>
    <w:tblStylePr w:type="band1Horz">
      <w:rPr>
        <w:rFonts w:cs="Times New Roman"/>
      </w:rPr>
      <w:tcPr>
        <w:shd w:val="clear" w:color="auto" w:fill="A7C0DE"/>
      </w:tcPr>
    </w:tblStylePr>
    <w:tblStylePr w:type="neCell">
      <w:rPr>
        <w:rFonts w:cs="Times New Roman"/>
        <w:color w:val="000000"/>
      </w:rPr>
    </w:tblStylePr>
    <w:tblStylePr w:type="nwCell">
      <w:rPr>
        <w:rFonts w:cs="Times New Roman"/>
        <w:color w:val="000000"/>
      </w:rPr>
    </w:tblStylePr>
  </w:style>
  <w:style w:type="table" w:customStyle="1" w:styleId="131">
    <w:name w:val="Colorful Shading - Accent 2"/>
    <w:basedOn w:val="16"/>
    <w:qFormat/>
    <w:uiPriority w:val="71"/>
    <w:rPr>
      <w:color w:val="000000"/>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CellMar>
        <w:top w:w="0" w:type="dxa"/>
        <w:left w:w="108" w:type="dxa"/>
        <w:bottom w:w="0" w:type="dxa"/>
        <w:right w:w="108" w:type="dxa"/>
      </w:tblCellMar>
    </w:tblPr>
    <w:tcPr>
      <w:shd w:val="clear" w:color="auto" w:fill="F8EDED"/>
    </w:tcPr>
    <w:tblStylePr w:type="firstRow">
      <w:rPr>
        <w:rFonts w:cs="Times New Roman"/>
        <w:b/>
        <w:bCs/>
      </w:rPr>
      <w:tcPr>
        <w:tcBorders>
          <w:top w:val="nil"/>
          <w:left w:val="single" w:color="C0504D" w:sz="24" w:space="0"/>
          <w:bottom w:val="nil"/>
          <w:right w:val="nil"/>
          <w:insideH w:val="nil"/>
          <w:insideV w:val="nil"/>
          <w:tl2br w:val="nil"/>
          <w:tr2bl w:val="nil"/>
        </w:tcBorders>
        <w:shd w:val="clear" w:color="auto" w:fill="FFFFFF"/>
      </w:tcPr>
    </w:tblStylePr>
    <w:tblStylePr w:type="lastRow">
      <w:rPr>
        <w:rFonts w:cs="Times New Roman"/>
        <w:b/>
        <w:bCs/>
        <w:color w:val="FFFFFF"/>
      </w:rPr>
      <w:tcPr>
        <w:tcBorders>
          <w:top w:val="single" w:color="FFFFFF" w:sz="6" w:space="0"/>
          <w:left w:val="nil"/>
          <w:bottom w:val="nil"/>
          <w:right w:val="nil"/>
          <w:insideH w:val="nil"/>
          <w:insideV w:val="nil"/>
          <w:tl2br w:val="nil"/>
          <w:tr2bl w:val="nil"/>
        </w:tcBorders>
        <w:shd w:val="clear" w:color="auto" w:fill="772C2A"/>
      </w:tcPr>
    </w:tblStylePr>
    <w:tblStylePr w:type="firstCol">
      <w:rPr>
        <w:rFonts w:cs="Times New Roman"/>
        <w:color w:val="FFFFFF"/>
      </w:rPr>
      <w:tcPr>
        <w:tcBorders>
          <w:top w:val="nil"/>
          <w:left w:val="nil"/>
          <w:bottom w:val="nil"/>
          <w:right w:val="nil"/>
          <w:insideH w:val="single" w:sz="4" w:space="0"/>
          <w:insideV w:val="nil"/>
          <w:tl2br w:val="nil"/>
          <w:tr2bl w:val="nil"/>
        </w:tcBorders>
        <w:shd w:val="clear" w:color="auto" w:fill="772C2A"/>
      </w:tcPr>
    </w:tblStylePr>
    <w:tblStylePr w:type="lastCol">
      <w:rPr>
        <w:rFonts w:cs="Times New Roman"/>
        <w:color w:val="FFFFFF"/>
      </w:rPr>
      <w:tcPr>
        <w:tcBorders>
          <w:top w:val="nil"/>
          <w:left w:val="nil"/>
          <w:bottom w:val="nil"/>
          <w:right w:val="nil"/>
          <w:insideH w:val="nil"/>
          <w:insideV w:val="nil"/>
          <w:tl2br w:val="nil"/>
          <w:tr2bl w:val="nil"/>
        </w:tcBorders>
        <w:shd w:val="clear" w:color="auto" w:fill="772C2A"/>
      </w:tcPr>
    </w:tblStylePr>
    <w:tblStylePr w:type="band1Vert">
      <w:rPr>
        <w:rFonts w:cs="Times New Roman"/>
      </w:rPr>
      <w:tcPr>
        <w:shd w:val="clear" w:color="auto" w:fill="E5B8B7"/>
      </w:tcPr>
    </w:tblStylePr>
    <w:tblStylePr w:type="band1Horz">
      <w:rPr>
        <w:rFonts w:cs="Times New Roman"/>
      </w:rPr>
      <w:tcPr>
        <w:shd w:val="clear" w:color="auto" w:fill="DFA7A6"/>
      </w:tcPr>
    </w:tblStylePr>
    <w:tblStylePr w:type="neCell">
      <w:rPr>
        <w:rFonts w:cs="Times New Roman"/>
        <w:color w:val="000000"/>
      </w:rPr>
    </w:tblStylePr>
    <w:tblStylePr w:type="nwCell">
      <w:rPr>
        <w:rFonts w:cs="Times New Roman"/>
        <w:color w:val="000000"/>
      </w:rPr>
    </w:tblStylePr>
  </w:style>
  <w:style w:type="table" w:customStyle="1" w:styleId="132">
    <w:name w:val="Colorful Shading - Accent 3"/>
    <w:basedOn w:val="16"/>
    <w:qFormat/>
    <w:uiPriority w:val="71"/>
    <w:rPr>
      <w:color w:val="000000"/>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CellMar>
        <w:top w:w="0" w:type="dxa"/>
        <w:left w:w="108" w:type="dxa"/>
        <w:bottom w:w="0" w:type="dxa"/>
        <w:right w:w="108" w:type="dxa"/>
      </w:tblCellMar>
    </w:tblPr>
    <w:tcPr>
      <w:shd w:val="clear" w:color="auto" w:fill="F5F8EE"/>
    </w:tcPr>
    <w:tblStylePr w:type="firstRow">
      <w:rPr>
        <w:rFonts w:cs="Times New Roman"/>
        <w:b/>
        <w:bCs/>
      </w:rPr>
      <w:tcPr>
        <w:tcBorders>
          <w:top w:val="nil"/>
          <w:left w:val="single" w:color="8064A2" w:sz="24" w:space="0"/>
          <w:bottom w:val="nil"/>
          <w:right w:val="nil"/>
          <w:insideH w:val="nil"/>
          <w:insideV w:val="nil"/>
          <w:tl2br w:val="nil"/>
          <w:tr2bl w:val="nil"/>
        </w:tcBorders>
        <w:shd w:val="clear" w:color="auto" w:fill="FFFFFF"/>
      </w:tcPr>
    </w:tblStylePr>
    <w:tblStylePr w:type="lastRow">
      <w:rPr>
        <w:rFonts w:cs="Times New Roman"/>
        <w:b/>
        <w:bCs/>
        <w:color w:val="FFFFFF"/>
      </w:rPr>
      <w:tcPr>
        <w:tcBorders>
          <w:top w:val="single" w:color="FFFFFF" w:sz="6" w:space="0"/>
          <w:left w:val="nil"/>
          <w:bottom w:val="nil"/>
          <w:right w:val="nil"/>
          <w:insideH w:val="nil"/>
          <w:insideV w:val="nil"/>
          <w:tl2br w:val="nil"/>
          <w:tr2bl w:val="nil"/>
        </w:tcBorders>
        <w:shd w:val="clear" w:color="auto" w:fill="5E7530"/>
      </w:tcPr>
    </w:tblStylePr>
    <w:tblStylePr w:type="firstCol">
      <w:rPr>
        <w:rFonts w:cs="Times New Roman"/>
        <w:color w:val="FFFFFF"/>
      </w:rPr>
      <w:tcPr>
        <w:tcBorders>
          <w:top w:val="nil"/>
          <w:left w:val="nil"/>
          <w:bottom w:val="nil"/>
          <w:right w:val="nil"/>
          <w:insideH w:val="single" w:sz="4" w:space="0"/>
          <w:insideV w:val="nil"/>
          <w:tl2br w:val="nil"/>
          <w:tr2bl w:val="nil"/>
        </w:tcBorders>
        <w:shd w:val="clear" w:color="auto" w:fill="5E7530"/>
      </w:tcPr>
    </w:tblStylePr>
    <w:tblStylePr w:type="lastCol">
      <w:rPr>
        <w:rFonts w:cs="Times New Roman"/>
        <w:color w:val="FFFFFF"/>
      </w:rPr>
      <w:tcPr>
        <w:tcBorders>
          <w:top w:val="nil"/>
          <w:left w:val="nil"/>
          <w:bottom w:val="nil"/>
          <w:right w:val="nil"/>
          <w:insideH w:val="nil"/>
          <w:insideV w:val="nil"/>
          <w:tl2br w:val="nil"/>
          <w:tr2bl w:val="nil"/>
        </w:tcBorders>
        <w:shd w:val="clear" w:color="auto" w:fill="5E7530"/>
      </w:tcPr>
    </w:tblStylePr>
    <w:tblStylePr w:type="band1Vert">
      <w:rPr>
        <w:rFonts w:cs="Times New Roman"/>
      </w:rPr>
      <w:tcPr>
        <w:shd w:val="clear" w:color="auto" w:fill="D6E3BC"/>
      </w:tcPr>
    </w:tblStylePr>
    <w:tblStylePr w:type="band1Horz">
      <w:rPr>
        <w:rFonts w:cs="Times New Roman"/>
      </w:rPr>
      <w:tcPr>
        <w:shd w:val="clear" w:color="auto" w:fill="CDDDAC"/>
      </w:tcPr>
    </w:tblStylePr>
  </w:style>
  <w:style w:type="table" w:customStyle="1" w:styleId="133">
    <w:name w:val="Colorful Shading - Accent 5"/>
    <w:basedOn w:val="16"/>
    <w:qFormat/>
    <w:uiPriority w:val="71"/>
    <w:rPr>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CellMar>
        <w:top w:w="0" w:type="dxa"/>
        <w:left w:w="108" w:type="dxa"/>
        <w:bottom w:w="0" w:type="dxa"/>
        <w:right w:w="108" w:type="dxa"/>
      </w:tblCellMar>
    </w:tblPr>
    <w:tcPr>
      <w:shd w:val="clear" w:color="auto" w:fill="EDF6F9"/>
    </w:tcPr>
    <w:tblStylePr w:type="firstRow">
      <w:rPr>
        <w:rFonts w:cs="Times New Roman"/>
        <w:b/>
        <w:bCs/>
      </w:rPr>
      <w:tcPr>
        <w:tcBorders>
          <w:top w:val="nil"/>
          <w:left w:val="single" w:color="F79646" w:sz="24" w:space="0"/>
          <w:bottom w:val="nil"/>
          <w:right w:val="nil"/>
          <w:insideH w:val="nil"/>
          <w:insideV w:val="nil"/>
          <w:tl2br w:val="nil"/>
          <w:tr2bl w:val="nil"/>
        </w:tcBorders>
        <w:shd w:val="clear" w:color="auto" w:fill="FFFFFF"/>
      </w:tcPr>
    </w:tblStylePr>
    <w:tblStylePr w:type="lastRow">
      <w:rPr>
        <w:rFonts w:cs="Times New Roman"/>
        <w:b/>
        <w:bCs/>
        <w:color w:val="FFFFFF"/>
      </w:rPr>
      <w:tcPr>
        <w:tcBorders>
          <w:top w:val="single" w:color="FFFFFF" w:sz="6" w:space="0"/>
          <w:left w:val="nil"/>
          <w:bottom w:val="nil"/>
          <w:right w:val="nil"/>
          <w:insideH w:val="nil"/>
          <w:insideV w:val="nil"/>
          <w:tl2br w:val="nil"/>
          <w:tr2bl w:val="nil"/>
        </w:tcBorders>
        <w:shd w:val="clear" w:color="auto" w:fill="276A7C"/>
      </w:tcPr>
    </w:tblStylePr>
    <w:tblStylePr w:type="firstCol">
      <w:rPr>
        <w:rFonts w:cs="Times New Roman"/>
        <w:color w:val="FFFFFF"/>
      </w:rPr>
      <w:tcPr>
        <w:tcBorders>
          <w:top w:val="nil"/>
          <w:left w:val="nil"/>
          <w:bottom w:val="nil"/>
          <w:right w:val="nil"/>
          <w:insideH w:val="single" w:sz="4" w:space="0"/>
          <w:insideV w:val="nil"/>
          <w:tl2br w:val="nil"/>
          <w:tr2bl w:val="nil"/>
        </w:tcBorders>
        <w:shd w:val="clear" w:color="auto" w:fill="276A7C"/>
      </w:tcPr>
    </w:tblStylePr>
    <w:tblStylePr w:type="lastCol">
      <w:rPr>
        <w:rFonts w:cs="Times New Roman"/>
        <w:color w:val="FFFFFF"/>
      </w:rPr>
      <w:tcPr>
        <w:tcBorders>
          <w:top w:val="nil"/>
          <w:left w:val="nil"/>
          <w:bottom w:val="nil"/>
          <w:right w:val="nil"/>
          <w:insideH w:val="nil"/>
          <w:insideV w:val="nil"/>
          <w:tl2br w:val="nil"/>
          <w:tr2bl w:val="nil"/>
        </w:tcBorders>
        <w:shd w:val="clear" w:color="auto" w:fill="276A7C"/>
      </w:tcPr>
    </w:tblStylePr>
    <w:tblStylePr w:type="band1Vert">
      <w:rPr>
        <w:rFonts w:cs="Times New Roman"/>
      </w:rPr>
      <w:tcPr>
        <w:shd w:val="clear" w:color="auto" w:fill="B6DDE8"/>
      </w:tcPr>
    </w:tblStylePr>
    <w:tblStylePr w:type="band1Horz">
      <w:rPr>
        <w:rFonts w:cs="Times New Roman"/>
      </w:r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134">
    <w:name w:val="Colorful List - Accent 1"/>
    <w:basedOn w:val="16"/>
    <w:qFormat/>
    <w:uiPriority w:val="72"/>
    <w:rPr>
      <w:color w:val="000000"/>
    </w:rPr>
    <w:tblPr>
      <w:tblCellMar>
        <w:top w:w="0" w:type="dxa"/>
        <w:left w:w="108" w:type="dxa"/>
        <w:bottom w:w="0" w:type="dxa"/>
        <w:right w:w="108" w:type="dxa"/>
      </w:tblCellMar>
    </w:tblPr>
    <w:tcPr>
      <w:shd w:val="clear" w:color="auto" w:fill="EDF2F8"/>
    </w:tcPr>
    <w:tblStylePr w:type="firstRow">
      <w:rPr>
        <w:rFonts w:cs="Times New Roman"/>
        <w:b/>
        <w:bCs/>
        <w:color w:val="FFFFFF"/>
      </w:rPr>
      <w:tcPr>
        <w:tcBorders>
          <w:top w:val="nil"/>
          <w:left w:val="single" w:color="FFFFFF" w:sz="12" w:space="0"/>
          <w:bottom w:val="nil"/>
          <w:right w:val="nil"/>
          <w:insideH w:val="nil"/>
          <w:insideV w:val="nil"/>
          <w:tl2br w:val="nil"/>
          <w:tr2bl w:val="nil"/>
        </w:tcBorders>
        <w:shd w:val="clear" w:color="auto" w:fill="9E3A38"/>
      </w:tcPr>
    </w:tblStylePr>
    <w:tblStylePr w:type="lastRow">
      <w:rPr>
        <w:rFonts w:cs="Times New Roman"/>
        <w:b/>
        <w:bCs/>
        <w:color w:val="9E3A38"/>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D3DFEE"/>
      </w:tcPr>
    </w:tblStylePr>
    <w:tblStylePr w:type="band1Horz">
      <w:rPr>
        <w:rFonts w:cs="Times New Roman"/>
      </w:rPr>
      <w:tcPr>
        <w:shd w:val="clear" w:color="auto" w:fill="DBE5F1"/>
      </w:tcPr>
    </w:tblStylePr>
  </w:style>
  <w:style w:type="table" w:customStyle="1" w:styleId="135">
    <w:name w:val="Colorful List - Accent 2"/>
    <w:basedOn w:val="16"/>
    <w:qFormat/>
    <w:uiPriority w:val="72"/>
    <w:rPr>
      <w:color w:val="000000"/>
    </w:rPr>
    <w:tblPr>
      <w:tblCellMar>
        <w:top w:w="0" w:type="dxa"/>
        <w:left w:w="108" w:type="dxa"/>
        <w:bottom w:w="0" w:type="dxa"/>
        <w:right w:w="108" w:type="dxa"/>
      </w:tblCellMar>
    </w:tblPr>
    <w:tcPr>
      <w:shd w:val="clear" w:color="auto" w:fill="F8EDED"/>
    </w:tcPr>
    <w:tblStylePr w:type="firstRow">
      <w:rPr>
        <w:rFonts w:cs="Times New Roman"/>
        <w:b/>
        <w:bCs/>
        <w:color w:val="FFFFFF"/>
      </w:rPr>
      <w:tcPr>
        <w:tcBorders>
          <w:top w:val="nil"/>
          <w:left w:val="single" w:color="FFFFFF" w:sz="12" w:space="0"/>
          <w:bottom w:val="nil"/>
          <w:right w:val="nil"/>
          <w:insideH w:val="nil"/>
          <w:insideV w:val="nil"/>
          <w:tl2br w:val="nil"/>
          <w:tr2bl w:val="nil"/>
        </w:tcBorders>
        <w:shd w:val="clear" w:color="auto" w:fill="9E3A38"/>
      </w:tcPr>
    </w:tblStylePr>
    <w:tblStylePr w:type="lastRow">
      <w:rPr>
        <w:rFonts w:cs="Times New Roman"/>
        <w:b/>
        <w:bCs/>
        <w:color w:val="9E3A38"/>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EFD3D3"/>
      </w:tcPr>
    </w:tblStylePr>
    <w:tblStylePr w:type="band1Horz">
      <w:rPr>
        <w:rFonts w:cs="Times New Roman"/>
      </w:rPr>
      <w:tcPr>
        <w:shd w:val="clear" w:color="auto" w:fill="F2DBDB"/>
      </w:tcPr>
    </w:tblStylePr>
  </w:style>
  <w:style w:type="table" w:customStyle="1" w:styleId="136">
    <w:name w:val="Colorful List - Accent 4"/>
    <w:basedOn w:val="16"/>
    <w:qFormat/>
    <w:uiPriority w:val="72"/>
    <w:rPr>
      <w:color w:val="000000"/>
    </w:rPr>
    <w:tblPr>
      <w:tblCellMar>
        <w:top w:w="0" w:type="dxa"/>
        <w:left w:w="108" w:type="dxa"/>
        <w:bottom w:w="0" w:type="dxa"/>
        <w:right w:w="108" w:type="dxa"/>
      </w:tblCellMar>
    </w:tblPr>
    <w:tcPr>
      <w:shd w:val="clear" w:color="auto" w:fill="F2EFF5"/>
    </w:tcPr>
    <w:tblStylePr w:type="firstRow">
      <w:rPr>
        <w:rFonts w:cs="Times New Roman"/>
        <w:b/>
        <w:bCs/>
        <w:color w:val="FFFFFF"/>
      </w:rPr>
      <w:tcPr>
        <w:tcBorders>
          <w:top w:val="nil"/>
          <w:left w:val="single" w:color="FFFFFF" w:sz="12" w:space="0"/>
          <w:bottom w:val="nil"/>
          <w:right w:val="nil"/>
          <w:insideH w:val="nil"/>
          <w:insideV w:val="nil"/>
          <w:tl2br w:val="nil"/>
          <w:tr2bl w:val="nil"/>
        </w:tcBorders>
        <w:shd w:val="clear" w:color="auto" w:fill="7E9C40"/>
      </w:tcPr>
    </w:tblStylePr>
    <w:tblStylePr w:type="lastRow">
      <w:rPr>
        <w:rFonts w:cs="Times New Roman"/>
        <w:b/>
        <w:bCs/>
        <w:color w:val="7E9C40"/>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DFD8E8"/>
      </w:tcPr>
    </w:tblStylePr>
    <w:tblStylePr w:type="band1Horz">
      <w:rPr>
        <w:rFonts w:cs="Times New Roman"/>
      </w:rPr>
      <w:tcPr>
        <w:shd w:val="clear" w:color="auto" w:fill="E5DFEC"/>
      </w:tcPr>
    </w:tblStylePr>
  </w:style>
  <w:style w:type="table" w:customStyle="1" w:styleId="137">
    <w:name w:val="Colorful List - Accent 5"/>
    <w:basedOn w:val="16"/>
    <w:qFormat/>
    <w:uiPriority w:val="72"/>
    <w:rPr>
      <w:color w:val="000000"/>
    </w:rPr>
    <w:tblPr>
      <w:tblCellMar>
        <w:top w:w="0" w:type="dxa"/>
        <w:left w:w="108" w:type="dxa"/>
        <w:bottom w:w="0" w:type="dxa"/>
        <w:right w:w="108" w:type="dxa"/>
      </w:tblCellMar>
    </w:tblPr>
    <w:tcPr>
      <w:shd w:val="clear" w:color="auto" w:fill="EDF6F9"/>
    </w:tcPr>
    <w:tblStylePr w:type="firstRow">
      <w:rPr>
        <w:rFonts w:cs="Times New Roman"/>
        <w:b/>
        <w:bCs/>
        <w:color w:val="FFFFFF"/>
      </w:rPr>
      <w:tcPr>
        <w:tcBorders>
          <w:top w:val="nil"/>
          <w:left w:val="single" w:color="FFFFFF" w:sz="12" w:space="0"/>
          <w:bottom w:val="nil"/>
          <w:right w:val="nil"/>
          <w:insideH w:val="nil"/>
          <w:insideV w:val="nil"/>
          <w:tl2br w:val="nil"/>
          <w:tr2bl w:val="nil"/>
        </w:tcBorders>
        <w:shd w:val="clear" w:color="auto" w:fill="F3730A"/>
      </w:tcPr>
    </w:tblStylePr>
    <w:tblStylePr w:type="lastRow">
      <w:rPr>
        <w:rFonts w:cs="Times New Roman"/>
        <w:b/>
        <w:bCs/>
        <w:color w:val="F3730A"/>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D2EAF0"/>
      </w:tcPr>
    </w:tblStylePr>
    <w:tblStylePr w:type="band1Horz">
      <w:rPr>
        <w:rFonts w:cs="Times New Roman"/>
      </w:rPr>
      <w:tcPr>
        <w:shd w:val="clear" w:color="auto" w:fill="DAEEF3"/>
      </w:tcPr>
    </w:tblStylePr>
  </w:style>
  <w:style w:type="table" w:customStyle="1" w:styleId="138">
    <w:name w:val="Colorful List - Accent 6"/>
    <w:basedOn w:val="16"/>
    <w:qFormat/>
    <w:uiPriority w:val="72"/>
    <w:rPr>
      <w:color w:val="000000"/>
    </w:rPr>
    <w:tblPr>
      <w:tblCellMar>
        <w:top w:w="0" w:type="dxa"/>
        <w:left w:w="108" w:type="dxa"/>
        <w:bottom w:w="0" w:type="dxa"/>
        <w:right w:w="108" w:type="dxa"/>
      </w:tblCellMar>
    </w:tblPr>
    <w:tcPr>
      <w:shd w:val="clear" w:color="auto" w:fill="FEF4EC"/>
    </w:tcPr>
    <w:tblStylePr w:type="firstRow">
      <w:rPr>
        <w:rFonts w:cs="Times New Roman"/>
        <w:b/>
        <w:bCs/>
        <w:color w:val="FFFFFF"/>
      </w:rPr>
      <w:tcPr>
        <w:tcBorders>
          <w:top w:val="nil"/>
          <w:left w:val="single" w:color="FFFFFF" w:sz="12" w:space="0"/>
          <w:bottom w:val="nil"/>
          <w:right w:val="nil"/>
          <w:insideH w:val="nil"/>
          <w:insideV w:val="nil"/>
          <w:tl2br w:val="nil"/>
          <w:tr2bl w:val="nil"/>
        </w:tcBorders>
        <w:shd w:val="clear" w:color="auto" w:fill="348DA5"/>
      </w:tcPr>
    </w:tblStylePr>
    <w:tblStylePr w:type="lastRow">
      <w:rPr>
        <w:rFonts w:cs="Times New Roman"/>
        <w:b/>
        <w:bCs/>
        <w:color w:val="348DA5"/>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FDE5D1"/>
      </w:tcPr>
    </w:tblStylePr>
    <w:tblStylePr w:type="band1Horz">
      <w:rPr>
        <w:rFonts w:cs="Times New Roman"/>
      </w:rPr>
      <w:tcPr>
        <w:shd w:val="clear" w:color="auto" w:fill="FDE9D9"/>
      </w:tcPr>
    </w:tblStylePr>
  </w:style>
  <w:style w:type="table" w:customStyle="1" w:styleId="139">
    <w:name w:val="Colorful Grid - Accent 4"/>
    <w:basedOn w:val="16"/>
    <w:qFormat/>
    <w:uiPriority w:val="73"/>
    <w:rPr>
      <w:color w:val="000000"/>
    </w:rPr>
    <w:tblPr>
      <w:tblBorders>
        <w:insideH w:val="single" w:color="FFFFFF" w:sz="4" w:space="0"/>
      </w:tblBorders>
      <w:tblCellMar>
        <w:top w:w="0" w:type="dxa"/>
        <w:left w:w="108" w:type="dxa"/>
        <w:bottom w:w="0" w:type="dxa"/>
        <w:right w:w="108" w:type="dxa"/>
      </w:tblCellMar>
    </w:tblPr>
    <w:tcPr>
      <w:shd w:val="clear" w:color="auto" w:fill="E5DFEC"/>
    </w:tcPr>
    <w:tblStylePr w:type="firstRow">
      <w:rPr>
        <w:rFonts w:cs="Times New Roman"/>
        <w:b/>
        <w:bCs/>
      </w:rPr>
      <w:tcPr>
        <w:shd w:val="clear" w:color="auto" w:fill="CCC0D9"/>
      </w:tcPr>
    </w:tblStylePr>
    <w:tblStylePr w:type="lastRow">
      <w:rPr>
        <w:rFonts w:cs="Times New Roman"/>
        <w:b/>
        <w:bCs/>
        <w:color w:val="000000"/>
      </w:rPr>
      <w:tcPr>
        <w:shd w:val="clear" w:color="auto" w:fill="CCC0D9"/>
      </w:tcPr>
    </w:tblStylePr>
    <w:tblStylePr w:type="firstCol">
      <w:rPr>
        <w:rFonts w:cs="Times New Roman"/>
        <w:color w:val="FFFFFF"/>
      </w:rPr>
      <w:tcPr>
        <w:shd w:val="clear" w:color="auto" w:fill="5F497A"/>
      </w:tcPr>
    </w:tblStylePr>
    <w:tblStylePr w:type="lastCol">
      <w:rPr>
        <w:rFonts w:cs="Times New Roman"/>
        <w:color w:val="FFFFFF"/>
      </w:rPr>
      <w:tcPr>
        <w:shd w:val="clear" w:color="auto" w:fill="5F497A"/>
      </w:tcPr>
    </w:tblStylePr>
    <w:tblStylePr w:type="band1Vert">
      <w:rPr>
        <w:rFonts w:cs="Times New Roman"/>
      </w:rPr>
      <w:tcPr>
        <w:shd w:val="clear" w:color="auto" w:fill="BFB1D0"/>
      </w:tcPr>
    </w:tblStylePr>
    <w:tblStylePr w:type="band1Horz">
      <w:rPr>
        <w:rFonts w:cs="Times New Roman"/>
      </w:rPr>
      <w:tcPr>
        <w:shd w:val="clear" w:color="auto" w:fill="BFB1D0"/>
      </w:tcPr>
    </w:tblStylePr>
  </w:style>
  <w:style w:type="table" w:customStyle="1" w:styleId="140">
    <w:name w:val="Colorful Grid - Accent 5"/>
    <w:basedOn w:val="16"/>
    <w:qFormat/>
    <w:uiPriority w:val="73"/>
    <w:rPr>
      <w:color w:val="000000"/>
    </w:rPr>
    <w:tblPr>
      <w:tblBorders>
        <w:insideH w:val="single" w:color="FFFFFF" w:sz="4" w:space="0"/>
      </w:tblBorders>
      <w:tblCellMar>
        <w:top w:w="0" w:type="dxa"/>
        <w:left w:w="108" w:type="dxa"/>
        <w:bottom w:w="0" w:type="dxa"/>
        <w:right w:w="108" w:type="dxa"/>
      </w:tblCellMar>
    </w:tblPr>
    <w:tcPr>
      <w:shd w:val="clear" w:color="auto" w:fill="DAEEF3"/>
    </w:tcPr>
    <w:tblStylePr w:type="firstRow">
      <w:rPr>
        <w:rFonts w:cs="Times New Roman"/>
        <w:b/>
        <w:bCs/>
      </w:rPr>
      <w:tcPr>
        <w:shd w:val="clear" w:color="auto" w:fill="B6DDE8"/>
      </w:tcPr>
    </w:tblStylePr>
    <w:tblStylePr w:type="lastRow">
      <w:rPr>
        <w:rFonts w:cs="Times New Roman"/>
        <w:b/>
        <w:bCs/>
        <w:color w:val="000000"/>
      </w:rPr>
      <w:tcPr>
        <w:shd w:val="clear" w:color="auto" w:fill="B6DDE8"/>
      </w:tcPr>
    </w:tblStylePr>
    <w:tblStylePr w:type="firstCol">
      <w:rPr>
        <w:rFonts w:cs="Times New Roman"/>
        <w:color w:val="FFFFFF"/>
      </w:rPr>
      <w:tcPr>
        <w:shd w:val="clear" w:color="auto" w:fill="31849B"/>
      </w:tcPr>
    </w:tblStylePr>
    <w:tblStylePr w:type="lastCol">
      <w:rPr>
        <w:rFonts w:cs="Times New Roman"/>
        <w:color w:val="FFFFFF"/>
      </w:rPr>
      <w:tcPr>
        <w:shd w:val="clear" w:color="auto" w:fill="31849B"/>
      </w:tcPr>
    </w:tblStylePr>
    <w:tblStylePr w:type="band1Vert">
      <w:rPr>
        <w:rFonts w:cs="Times New Roman"/>
      </w:rPr>
      <w:tcPr>
        <w:shd w:val="clear" w:color="auto" w:fill="A5D5E2"/>
      </w:tcPr>
    </w:tblStylePr>
    <w:tblStylePr w:type="band1Horz">
      <w:rPr>
        <w:rFonts w:cs="Times New Roman"/>
      </w:rPr>
      <w:tcPr>
        <w:shd w:val="clear" w:color="auto" w:fill="A5D5E2"/>
      </w:tcPr>
    </w:tblStylePr>
  </w:style>
  <w:style w:type="table" w:customStyle="1" w:styleId="141">
    <w:name w:val="Colorful Grid - Accent 6"/>
    <w:basedOn w:val="16"/>
    <w:qFormat/>
    <w:uiPriority w:val="73"/>
    <w:rPr>
      <w:color w:val="000000"/>
    </w:rPr>
    <w:tblPr>
      <w:tblBorders>
        <w:insideH w:val="single" w:color="FFFFFF" w:sz="4" w:space="0"/>
      </w:tblBorders>
      <w:tblCellMar>
        <w:top w:w="0" w:type="dxa"/>
        <w:left w:w="108" w:type="dxa"/>
        <w:bottom w:w="0" w:type="dxa"/>
        <w:right w:w="108" w:type="dxa"/>
      </w:tblCellMar>
    </w:tblPr>
    <w:tcPr>
      <w:shd w:val="clear" w:color="auto" w:fill="FDE9D9"/>
    </w:tcPr>
    <w:tblStylePr w:type="firstRow">
      <w:rPr>
        <w:rFonts w:cs="Times New Roman"/>
        <w:b/>
        <w:bCs/>
      </w:rPr>
      <w:tcPr>
        <w:shd w:val="clear" w:color="auto" w:fill="FBD4B4"/>
      </w:tcPr>
    </w:tblStylePr>
    <w:tblStylePr w:type="lastRow">
      <w:rPr>
        <w:rFonts w:cs="Times New Roman"/>
        <w:b/>
        <w:bCs/>
        <w:color w:val="000000"/>
      </w:rPr>
      <w:tcPr>
        <w:shd w:val="clear" w:color="auto" w:fill="FBD4B4"/>
      </w:tcPr>
    </w:tblStylePr>
    <w:tblStylePr w:type="firstCol">
      <w:rPr>
        <w:rFonts w:cs="Times New Roman"/>
        <w:color w:val="FFFFFF"/>
      </w:rPr>
      <w:tcPr>
        <w:shd w:val="clear" w:color="auto" w:fill="E36C09"/>
      </w:tcPr>
    </w:tblStylePr>
    <w:tblStylePr w:type="lastCol">
      <w:rPr>
        <w:rFonts w:cs="Times New Roman"/>
        <w:color w:val="FFFFFF"/>
      </w:rPr>
      <w:tcPr>
        <w:shd w:val="clear" w:color="auto" w:fill="E36C09"/>
      </w:tcPr>
    </w:tblStylePr>
    <w:tblStylePr w:type="band1Vert">
      <w:rPr>
        <w:rFonts w:cs="Times New Roman"/>
      </w:rPr>
      <w:tcPr>
        <w:shd w:val="clear" w:color="auto" w:fill="FBCAA2"/>
      </w:tcPr>
    </w:tblStylePr>
    <w:tblStylePr w:type="band1Horz">
      <w:rPr>
        <w:rFonts w:cs="Times New Roman"/>
      </w:rPr>
      <w:tcPr>
        <w:shd w:val="clear" w:color="auto" w:fill="FBCAA2"/>
      </w:tcPr>
    </w:tblStylePr>
  </w:style>
  <w:style w:type="table" w:customStyle="1" w:styleId="142">
    <w:name w:val="中等深浅底纹 2 - 强调文字颜色 11"/>
    <w:basedOn w:val="16"/>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pPr>
      <w:rPr>
        <w:rFonts w:cs="Times New Roman"/>
        <w:b/>
        <w:bCs/>
        <w:color w:val="FFFFFF"/>
      </w:rPr>
      <w:tcPr>
        <w:tcBorders>
          <w:top w:val="single" w:color="auto" w:sz="18" w:space="0"/>
          <w:left w:val="single" w:color="auto" w:sz="18" w:space="0"/>
          <w:bottom w:val="nil"/>
          <w:right w:val="nil"/>
          <w:insideH w:val="nil"/>
          <w:insideV w:val="nil"/>
          <w:tl2br w:val="nil"/>
          <w:tr2bl w:val="nil"/>
        </w:tcBorders>
        <w:shd w:val="clear" w:color="auto" w:fill="4F81BD"/>
      </w:tcPr>
    </w:tblStylePr>
    <w:tblStylePr w:type="lastRow">
      <w:pPr>
        <w:spacing w:before="0" w:after="0"/>
      </w:pPr>
      <w:rPr>
        <w:rFonts w:cs="Times New Roman"/>
        <w:color w:val="auto"/>
      </w:r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rFonts w:cs="Times New Roman"/>
        <w:b/>
        <w:bCs/>
        <w:color w:val="FFFFFF"/>
      </w:rPr>
      <w:tcPr>
        <w:tcBorders>
          <w:top w:val="nil"/>
          <w:left w:val="single" w:color="auto" w:sz="18" w:space="0"/>
          <w:bottom w:val="nil"/>
          <w:right w:val="nil"/>
          <w:insideH w:val="nil"/>
          <w:insideV w:val="nil"/>
          <w:tl2br w:val="nil"/>
          <w:tr2bl w:val="nil"/>
        </w:tcBorders>
        <w:shd w:val="clear" w:color="auto" w:fill="4F81BD"/>
      </w:tcPr>
    </w:tblStylePr>
    <w:tblStylePr w:type="lastCol">
      <w:rPr>
        <w:rFonts w:cs="Times New Roman"/>
        <w:b/>
        <w:bCs/>
        <w:color w:val="FFFFFF"/>
      </w:rPr>
      <w:tcPr>
        <w:tcBorders>
          <w:top w:val="nil"/>
          <w:left w:val="nil"/>
          <w:bottom w:val="nil"/>
          <w:right w:val="nil"/>
          <w:insideH w:val="nil"/>
          <w:insideV w:val="nil"/>
          <w:tl2br w:val="nil"/>
          <w:tr2bl w:val="nil"/>
        </w:tcBorders>
        <w:shd w:val="clear" w:color="auto" w:fill="4F81BD"/>
      </w:tcPr>
    </w:tblStylePr>
    <w:tblStylePr w:type="band1Vert">
      <w:rPr>
        <w:rFonts w:cs="Times New Roman"/>
      </w:rPr>
      <w:tcPr>
        <w:tcBorders>
          <w:top w:val="nil"/>
          <w:left w:val="nil"/>
          <w:bottom w:val="nil"/>
          <w:right w:val="nil"/>
          <w:insideH w:val="nil"/>
          <w:insideV w:val="nil"/>
          <w:tl2br w:val="nil"/>
          <w:tr2bl w:val="nil"/>
        </w:tcBorders>
        <w:shd w:val="clear" w:color="auto" w:fill="D7D7D7"/>
      </w:tcPr>
    </w:tblStylePr>
    <w:tblStylePr w:type="band1Horz">
      <w:rPr>
        <w:rFonts w:cs="Times New Roman"/>
      </w:rPr>
      <w:tcPr>
        <w:shd w:val="clear" w:color="auto" w:fill="D7D7D7"/>
      </w:tcPr>
    </w:tblStylePr>
    <w:tblStylePr w:type="neCell">
      <w:rPr>
        <w:rFonts w:cs="Times New Roman"/>
      </w:rPr>
      <w:tcPr>
        <w:tcBorders>
          <w:top w:val="single" w:color="auto" w:sz="18" w:space="0"/>
          <w:left w:val="single" w:color="auto" w:sz="18" w:space="0"/>
          <w:bottom w:val="nil"/>
          <w:right w:val="nil"/>
          <w:insideH w:val="nil"/>
          <w:insideV w:val="nil"/>
          <w:tl2br w:val="nil"/>
          <w:tr2bl w:val="nil"/>
        </w:tcBorders>
      </w:tcPr>
    </w:tblStylePr>
    <w:tblStylePr w:type="nwCell">
      <w:rPr>
        <w:rFonts w:cs="Times New Roman"/>
        <w:color w:val="FFFFFF"/>
      </w:rPr>
      <w:tcPr>
        <w:tcBorders>
          <w:top w:val="single" w:color="auto" w:sz="18" w:space="0"/>
          <w:left w:val="single" w:color="auto" w:sz="18" w:space="0"/>
          <w:bottom w:val="nil"/>
          <w:right w:val="nil"/>
          <w:insideH w:val="nil"/>
          <w:insideV w:val="nil"/>
          <w:tl2br w:val="nil"/>
          <w:tr2bl w:val="nil"/>
        </w:tcBorders>
      </w:tcPr>
    </w:tblStyle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3.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chart" Target="charts/chart16.xml"/><Relationship Id="rId25" Type="http://schemas.openxmlformats.org/officeDocument/2006/relationships/chart" Target="charts/chart15.xml"/><Relationship Id="rId24" Type="http://schemas.openxmlformats.org/officeDocument/2006/relationships/chart" Target="charts/chart14.xml"/><Relationship Id="rId23" Type="http://schemas.openxmlformats.org/officeDocument/2006/relationships/chart" Target="charts/chart13.xml"/><Relationship Id="rId22" Type="http://schemas.openxmlformats.org/officeDocument/2006/relationships/chart" Target="charts/chart12.xml"/><Relationship Id="rId21" Type="http://schemas.openxmlformats.org/officeDocument/2006/relationships/chart" Target="charts/chart11.xml"/><Relationship Id="rId20" Type="http://schemas.openxmlformats.org/officeDocument/2006/relationships/chart" Target="charts/chart10.xml"/><Relationship Id="rId2" Type="http://schemas.openxmlformats.org/officeDocument/2006/relationships/settings" Target="settings.xml"/><Relationship Id="rId19" Type="http://schemas.openxmlformats.org/officeDocument/2006/relationships/chart" Target="charts/chart9.xml"/><Relationship Id="rId18" Type="http://schemas.openxmlformats.org/officeDocument/2006/relationships/chart" Target="charts/chart8.xml"/><Relationship Id="rId17" Type="http://schemas.openxmlformats.org/officeDocument/2006/relationships/chart" Target="charts/chart7.xml"/><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019&#24180;&#23601;&#19994;&#36136;&#37327;&#25253;&#21578;\&#26032;&#24314;%20XLS%20&#24037;&#20316;&#34920;%20(3).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ministrator\Desktop\&#26032;&#24314;XLS%20&#24037;&#20316;&#34920;%20(2).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dministrator\Desktop\&#26032;&#24314;XLS%20&#24037;&#20316;&#34920;.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dministrator\Desktop\&#26032;&#24314;XLS%20&#24037;&#20316;&#34920;%20(4).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dministrator\Desktop\&#26032;&#24314;XLS%20&#24037;&#20316;&#34920;%20(5).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dministrator\Desktop\2019&#24180;&#23601;&#19994;&#36136;&#37327;&#25253;&#21578;\&#26032;&#24314;%20XLS%20&#24037;&#20316;&#34920;.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dministrator\Desktop\&#26032;&#24314;XLS%20&#24037;&#20316;&#34920;%20(7).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dministrator\Desktop\2019&#24180;&#23601;&#19994;&#36136;&#37327;&#25253;&#21578;\&#21319;&#23398;.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2019&#24180;&#23601;&#19994;&#36136;&#37327;&#25253;&#21578;\&#26032;&#24314;%20XLS%20&#24037;&#20316;&#34920;%20(3).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2019&#24180;&#23601;&#19994;&#36136;&#37327;&#25253;&#21578;\&#26032;&#24314;%20XLS%20&#24037;&#20316;&#34920;%20(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esktop\2019&#24180;&#23601;&#19994;&#36136;&#37327;&#25253;&#21578;\&#26032;&#24314;%20XLS%20&#24037;&#20316;&#34920;%20(3).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esktop\2019&#24180;&#23601;&#19994;&#36136;&#37327;&#25253;&#21578;\&#26032;&#24314;%20XLS%20&#24037;&#20316;&#34920;%20(4).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Desktop\&#26032;&#24314;XLS%20&#24037;&#20316;&#34920;%20(6).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esktop\2019&#24180;&#23601;&#19994;&#36136;&#37327;&#25253;&#21578;\&#26032;&#24314;%20XLS%20&#24037;&#20316;&#34920;.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istrator\Desktop\2019&#24180;&#23601;&#19994;&#36136;&#37327;&#25253;&#21578;\&#8205;&#21319;&#23398;&#23545;&#27604;.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istrator\Desktop\&#26032;&#24314;XLS%20&#24037;&#20316;&#34920;%20(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tx>
            <c:strRef>
              <c:f>Sheet1!$B$1</c:f>
              <c:strCache>
                <c:ptCount val="1"/>
                <c:pt idx="0">
                  <c:v>人 数比例</c:v>
                </c:pt>
              </c:strCache>
            </c:strRef>
          </c:tx>
          <c:explosion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elete val="1"/>
          </c:dLbls>
          <c:cat>
            <c:strRef>
              <c:f>Sheet1!$A$2:$A$9</c:f>
              <c:strCache>
                <c:ptCount val="8"/>
                <c:pt idx="0">
                  <c:v>会计学院</c:v>
                </c:pt>
                <c:pt idx="1">
                  <c:v>财政金融学院</c:v>
                </c:pt>
                <c:pt idx="2">
                  <c:v>经济学院</c:v>
                </c:pt>
                <c:pt idx="3">
                  <c:v>工商管理学院</c:v>
                </c:pt>
                <c:pt idx="4">
                  <c:v>公共管理学院</c:v>
                </c:pt>
                <c:pt idx="5">
                  <c:v>信息管理学院</c:v>
                </c:pt>
                <c:pt idx="6">
                  <c:v>外国语学院</c:v>
                </c:pt>
                <c:pt idx="7">
                  <c:v>工程管理学院</c:v>
                </c:pt>
              </c:strCache>
            </c:strRef>
          </c:cat>
          <c:val>
            <c:numRef>
              <c:f>Sheet1!$B$2:$B$9</c:f>
              <c:numCache>
                <c:formatCode>General</c:formatCode>
                <c:ptCount val="8"/>
                <c:pt idx="0">
                  <c:v>770</c:v>
                </c:pt>
                <c:pt idx="1">
                  <c:v>419</c:v>
                </c:pt>
                <c:pt idx="2">
                  <c:v>171</c:v>
                </c:pt>
                <c:pt idx="3">
                  <c:v>294</c:v>
                </c:pt>
                <c:pt idx="4">
                  <c:v>79</c:v>
                </c:pt>
                <c:pt idx="5">
                  <c:v>238</c:v>
                </c:pt>
                <c:pt idx="6">
                  <c:v>226</c:v>
                </c:pt>
                <c:pt idx="7">
                  <c:v>214</c:v>
                </c:pt>
              </c:numCache>
            </c:numRef>
          </c:val>
        </c:ser>
        <c:dLbls>
          <c:showLegendKey val="0"/>
          <c:showVal val="0"/>
          <c:showCatName val="0"/>
          <c:showSerName val="0"/>
          <c:showPercent val="0"/>
          <c:showBubbleSize val="0"/>
          <c:showLeaderLines val="1"/>
        </c:dLbls>
        <c:firstSliceAng val="15"/>
      </c:pieChart>
      <c:spPr>
        <a:no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legend>
    <c:plotVisOnly val="1"/>
    <c:dispBlanksAs val="zero"/>
    <c:showDLblsOverMax val="0"/>
  </c:chart>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barChart>
        <c:barDir val="col"/>
        <c:grouping val="stacked"/>
        <c:varyColors val="0"/>
        <c:ser>
          <c:idx val="0"/>
          <c:order val="0"/>
          <c:tx>
            <c:strRef>
              <c:f>Sheet1!$A$2</c:f>
              <c:strCache>
                <c:ptCount val="1"/>
                <c:pt idx="0">
                  <c:v>2.您对当前的就业状况（含就业、自主创业、继续深造等）满意吗？</c:v>
                </c:pt>
              </c:strCache>
            </c:strRef>
          </c:tx>
          <c:invertIfNegative val="0"/>
          <c:dLbls>
            <c:delete val="1"/>
          </c:dLbls>
          <c:cat>
            <c:strRef>
              <c:f>Sheet1!$B$1:$E$1</c:f>
              <c:strCache>
                <c:ptCount val="4"/>
                <c:pt idx="0">
                  <c:v>非常满意</c:v>
                </c:pt>
                <c:pt idx="1">
                  <c:v>满意</c:v>
                </c:pt>
                <c:pt idx="2">
                  <c:v>比较满意</c:v>
                </c:pt>
                <c:pt idx="3">
                  <c:v>不太满意</c:v>
                </c:pt>
              </c:strCache>
            </c:strRef>
          </c:cat>
          <c:val>
            <c:numRef>
              <c:f>Sheet1!$B$2:$E$2</c:f>
              <c:numCache>
                <c:formatCode>General</c:formatCode>
                <c:ptCount val="4"/>
                <c:pt idx="0">
                  <c:v>37</c:v>
                </c:pt>
                <c:pt idx="1">
                  <c:v>92</c:v>
                </c:pt>
                <c:pt idx="2">
                  <c:v>149</c:v>
                </c:pt>
                <c:pt idx="3">
                  <c:v>68</c:v>
                </c:pt>
              </c:numCache>
            </c:numRef>
          </c:val>
        </c:ser>
        <c:dLbls>
          <c:showLegendKey val="0"/>
          <c:showVal val="0"/>
          <c:showCatName val="0"/>
          <c:showSerName val="0"/>
          <c:showPercent val="0"/>
          <c:showBubbleSize val="0"/>
        </c:dLbls>
        <c:gapWidth val="150"/>
        <c:overlap val="100"/>
        <c:axId val="186570624"/>
        <c:axId val="186572160"/>
      </c:barChart>
      <c:catAx>
        <c:axId val="186570624"/>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186572160"/>
        <c:crosses val="autoZero"/>
        <c:auto val="1"/>
        <c:lblAlgn val="ctr"/>
        <c:lblOffset val="100"/>
        <c:noMultiLvlLbl val="0"/>
      </c:catAx>
      <c:valAx>
        <c:axId val="18657216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186570624"/>
        <c:crosses val="autoZero"/>
        <c:crossBetween val="between"/>
      </c:valAx>
      <c:spPr>
        <a:solidFill>
          <a:srgbClr val="FFFFFF"/>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invertIfNegative val="0"/>
          <c:dLbls>
            <c:delete val="1"/>
          </c:dLbls>
          <c:cat>
            <c:strRef>
              <c:f>Sheet1!$B$1:$F$1</c:f>
              <c:strCache>
                <c:ptCount val="5"/>
                <c:pt idx="0">
                  <c:v>非常满意</c:v>
                </c:pt>
                <c:pt idx="1">
                  <c:v>满意</c:v>
                </c:pt>
                <c:pt idx="2">
                  <c:v>比较满意</c:v>
                </c:pt>
                <c:pt idx="3">
                  <c:v>不太满意</c:v>
                </c:pt>
                <c:pt idx="4">
                  <c:v>很不满意</c:v>
                </c:pt>
              </c:strCache>
            </c:strRef>
          </c:cat>
          <c:val>
            <c:numRef>
              <c:f>Sheet1!$B$2:$F$2</c:f>
              <c:numCache>
                <c:formatCode>General</c:formatCode>
                <c:ptCount val="5"/>
                <c:pt idx="0">
                  <c:v>289</c:v>
                </c:pt>
                <c:pt idx="1">
                  <c:v>798</c:v>
                </c:pt>
                <c:pt idx="2">
                  <c:v>1085</c:v>
                </c:pt>
                <c:pt idx="3">
                  <c:v>237</c:v>
                </c:pt>
                <c:pt idx="4">
                  <c:v>30</c:v>
                </c:pt>
              </c:numCache>
            </c:numRef>
          </c:val>
        </c:ser>
        <c:dLbls>
          <c:showLegendKey val="0"/>
          <c:showVal val="0"/>
          <c:showCatName val="0"/>
          <c:showSerName val="0"/>
          <c:showPercent val="0"/>
          <c:showBubbleSize val="0"/>
        </c:dLbls>
        <c:gapWidth val="150"/>
        <c:axId val="186583296"/>
        <c:axId val="186601472"/>
      </c:barChart>
      <c:catAx>
        <c:axId val="186583296"/>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186601472"/>
        <c:crosses val="autoZero"/>
        <c:auto val="1"/>
        <c:lblAlgn val="ctr"/>
        <c:lblOffset val="100"/>
        <c:noMultiLvlLbl val="0"/>
      </c:catAx>
      <c:valAx>
        <c:axId val="18660147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186583296"/>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非常满意（含满意）</c:v>
                </c:pt>
              </c:strCache>
            </c:strRef>
          </c:tx>
          <c:invertIfNegative val="0"/>
          <c:dLbls>
            <c:delete val="1"/>
          </c:dLbls>
          <c:cat>
            <c:strRef>
              <c:f>Sheet1!$A$2:$A$10</c:f>
              <c:strCache>
                <c:ptCount val="9"/>
                <c:pt idx="0">
                  <c:v>思想表现</c:v>
                </c:pt>
                <c:pt idx="1">
                  <c:v>敬业精神</c:v>
                </c:pt>
                <c:pt idx="2">
                  <c:v>专业水平</c:v>
                </c:pt>
                <c:pt idx="3">
                  <c:v>基本技能</c:v>
                </c:pt>
                <c:pt idx="4">
                  <c:v>工作能力</c:v>
                </c:pt>
                <c:pt idx="5">
                  <c:v>学习能力</c:v>
                </c:pt>
                <c:pt idx="6">
                  <c:v>适应能力</c:v>
                </c:pt>
                <c:pt idx="7">
                  <c:v>创新能力</c:v>
                </c:pt>
                <c:pt idx="8">
                  <c:v>组织协调能力</c:v>
                </c:pt>
              </c:strCache>
            </c:strRef>
          </c:cat>
          <c:val>
            <c:numRef>
              <c:f>Sheet1!$B$2:$B$10</c:f>
              <c:numCache>
                <c:formatCode>General</c:formatCode>
                <c:ptCount val="9"/>
                <c:pt idx="0">
                  <c:v>100</c:v>
                </c:pt>
                <c:pt idx="1">
                  <c:v>97.57</c:v>
                </c:pt>
                <c:pt idx="2">
                  <c:v>98.79</c:v>
                </c:pt>
                <c:pt idx="3">
                  <c:v>98.18</c:v>
                </c:pt>
                <c:pt idx="4">
                  <c:v>99.39</c:v>
                </c:pt>
                <c:pt idx="5">
                  <c:v>98.18</c:v>
                </c:pt>
                <c:pt idx="6">
                  <c:v>100</c:v>
                </c:pt>
                <c:pt idx="7">
                  <c:v>98.79</c:v>
                </c:pt>
                <c:pt idx="8">
                  <c:v>98.79</c:v>
                </c:pt>
              </c:numCache>
            </c:numRef>
          </c:val>
        </c:ser>
        <c:ser>
          <c:idx val="1"/>
          <c:order val="1"/>
          <c:tx>
            <c:strRef>
              <c:f>Sheet1!$C$1</c:f>
              <c:strCache>
                <c:ptCount val="1"/>
                <c:pt idx="0">
                  <c:v>一般</c:v>
                </c:pt>
              </c:strCache>
            </c:strRef>
          </c:tx>
          <c:invertIfNegative val="0"/>
          <c:dLbls>
            <c:delete val="1"/>
          </c:dLbls>
          <c:cat>
            <c:strRef>
              <c:f>Sheet1!$A$2:$A$10</c:f>
              <c:strCache>
                <c:ptCount val="9"/>
                <c:pt idx="0">
                  <c:v>思想表现</c:v>
                </c:pt>
                <c:pt idx="1">
                  <c:v>敬业精神</c:v>
                </c:pt>
                <c:pt idx="2">
                  <c:v>专业水平</c:v>
                </c:pt>
                <c:pt idx="3">
                  <c:v>基本技能</c:v>
                </c:pt>
                <c:pt idx="4">
                  <c:v>工作能力</c:v>
                </c:pt>
                <c:pt idx="5">
                  <c:v>学习能力</c:v>
                </c:pt>
                <c:pt idx="6">
                  <c:v>适应能力</c:v>
                </c:pt>
                <c:pt idx="7">
                  <c:v>创新能力</c:v>
                </c:pt>
                <c:pt idx="8">
                  <c:v>组织协调能力</c:v>
                </c:pt>
              </c:strCache>
            </c:strRef>
          </c:cat>
          <c:val>
            <c:numRef>
              <c:f>Sheet1!$C$2:$C$10</c:f>
              <c:numCache>
                <c:formatCode>General</c:formatCode>
                <c:ptCount val="9"/>
                <c:pt idx="0">
                  <c:v>0</c:v>
                </c:pt>
                <c:pt idx="1">
                  <c:v>2.42</c:v>
                </c:pt>
                <c:pt idx="2">
                  <c:v>1.21</c:v>
                </c:pt>
                <c:pt idx="3">
                  <c:v>1.82</c:v>
                </c:pt>
                <c:pt idx="4">
                  <c:v>0.610000000000002</c:v>
                </c:pt>
                <c:pt idx="5">
                  <c:v>1.82</c:v>
                </c:pt>
                <c:pt idx="6">
                  <c:v>0</c:v>
                </c:pt>
                <c:pt idx="7">
                  <c:v>1.21</c:v>
                </c:pt>
                <c:pt idx="8">
                  <c:v>1.21</c:v>
                </c:pt>
              </c:numCache>
            </c:numRef>
          </c:val>
        </c:ser>
        <c:ser>
          <c:idx val="2"/>
          <c:order val="2"/>
          <c:tx>
            <c:strRef>
              <c:f>Sheet1!$D$1</c:f>
              <c:strCache>
                <c:ptCount val="1"/>
                <c:pt idx="0">
                  <c:v>不满意</c:v>
                </c:pt>
              </c:strCache>
            </c:strRef>
          </c:tx>
          <c:invertIfNegative val="0"/>
          <c:dLbls>
            <c:delete val="1"/>
          </c:dLbls>
          <c:cat>
            <c:strRef>
              <c:f>Sheet1!$A$2:$A$10</c:f>
              <c:strCache>
                <c:ptCount val="9"/>
                <c:pt idx="0">
                  <c:v>思想表现</c:v>
                </c:pt>
                <c:pt idx="1">
                  <c:v>敬业精神</c:v>
                </c:pt>
                <c:pt idx="2">
                  <c:v>专业水平</c:v>
                </c:pt>
                <c:pt idx="3">
                  <c:v>基本技能</c:v>
                </c:pt>
                <c:pt idx="4">
                  <c:v>工作能力</c:v>
                </c:pt>
                <c:pt idx="5">
                  <c:v>学习能力</c:v>
                </c:pt>
                <c:pt idx="6">
                  <c:v>适应能力</c:v>
                </c:pt>
                <c:pt idx="7">
                  <c:v>创新能力</c:v>
                </c:pt>
                <c:pt idx="8">
                  <c:v>组织协调能力</c:v>
                </c:pt>
              </c:strCache>
            </c:strRef>
          </c:cat>
          <c:val>
            <c:numRef>
              <c:f>Sheet1!$D$2:$D$10</c:f>
              <c:numCache>
                <c:formatCode>General</c:formatCode>
                <c:ptCount val="9"/>
                <c:pt idx="0">
                  <c:v>0</c:v>
                </c:pt>
                <c:pt idx="1">
                  <c:v>0</c:v>
                </c:pt>
                <c:pt idx="2">
                  <c:v>0</c:v>
                </c:pt>
                <c:pt idx="3">
                  <c:v>0</c:v>
                </c:pt>
                <c:pt idx="4">
                  <c:v>0</c:v>
                </c:pt>
                <c:pt idx="5">
                  <c:v>0</c:v>
                </c:pt>
                <c:pt idx="6">
                  <c:v>0</c:v>
                </c:pt>
                <c:pt idx="7">
                  <c:v>0</c:v>
                </c:pt>
                <c:pt idx="8">
                  <c:v>0</c:v>
                </c:pt>
              </c:numCache>
            </c:numRef>
          </c:val>
        </c:ser>
        <c:dLbls>
          <c:showLegendKey val="0"/>
          <c:showVal val="0"/>
          <c:showCatName val="0"/>
          <c:showSerName val="0"/>
          <c:showPercent val="0"/>
          <c:showBubbleSize val="0"/>
        </c:dLbls>
        <c:gapWidth val="150"/>
        <c:axId val="186634624"/>
        <c:axId val="186636160"/>
      </c:barChart>
      <c:catAx>
        <c:axId val="186634624"/>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186636160"/>
        <c:crosses val="autoZero"/>
        <c:auto val="1"/>
        <c:lblAlgn val="ctr"/>
        <c:lblOffset val="100"/>
        <c:noMultiLvlLbl val="0"/>
      </c:catAx>
      <c:valAx>
        <c:axId val="18663616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186634624"/>
        <c:crosses val="autoZero"/>
        <c:crossBetween val="between"/>
      </c:valAx>
      <c:spPr>
        <a:solidFill>
          <a:srgbClr val="FFFFFF"/>
        </a:solid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总体来看，您对母校的人才培养满意度</c:v>
                </c:pt>
              </c:strCache>
            </c:strRef>
          </c:tx>
          <c:invertIfNegative val="0"/>
          <c:dLbls>
            <c:delete val="1"/>
          </c:dLbls>
          <c:cat>
            <c:strRef>
              <c:f>Sheet1!$B$1:$F$1</c:f>
              <c:strCache>
                <c:ptCount val="5"/>
                <c:pt idx="0">
                  <c:v>非常满意</c:v>
                </c:pt>
                <c:pt idx="1">
                  <c:v>比较满意</c:v>
                </c:pt>
                <c:pt idx="2">
                  <c:v>满意</c:v>
                </c:pt>
                <c:pt idx="3">
                  <c:v>不太满意</c:v>
                </c:pt>
                <c:pt idx="4">
                  <c:v>很不满意</c:v>
                </c:pt>
              </c:strCache>
            </c:strRef>
          </c:cat>
          <c:val>
            <c:numRef>
              <c:f>Sheet1!$B$2:$F$2</c:f>
              <c:numCache>
                <c:formatCode>0.00%</c:formatCode>
                <c:ptCount val="5"/>
                <c:pt idx="0">
                  <c:v>0.1046</c:v>
                </c:pt>
                <c:pt idx="1">
                  <c:v>0.494900000000002</c:v>
                </c:pt>
                <c:pt idx="2">
                  <c:v>0.2649</c:v>
                </c:pt>
                <c:pt idx="3">
                  <c:v>0.1181</c:v>
                </c:pt>
                <c:pt idx="4">
                  <c:v>0.0176</c:v>
                </c:pt>
              </c:numCache>
            </c:numRef>
          </c:val>
        </c:ser>
        <c:ser>
          <c:idx val="1"/>
          <c:order val="1"/>
          <c:tx>
            <c:strRef>
              <c:f>Sheet1!$A$3</c:f>
              <c:strCache>
                <c:ptCount val="1"/>
                <c:pt idx="0">
                  <c:v>对学校老师们的专业素养满意度</c:v>
                </c:pt>
              </c:strCache>
            </c:strRef>
          </c:tx>
          <c:invertIfNegative val="0"/>
          <c:dLbls>
            <c:delete val="1"/>
          </c:dLbls>
          <c:cat>
            <c:strRef>
              <c:f>Sheet1!$B$1:$F$1</c:f>
              <c:strCache>
                <c:ptCount val="5"/>
                <c:pt idx="0">
                  <c:v>非常满意</c:v>
                </c:pt>
                <c:pt idx="1">
                  <c:v>比较满意</c:v>
                </c:pt>
                <c:pt idx="2">
                  <c:v>满意</c:v>
                </c:pt>
                <c:pt idx="3">
                  <c:v>不太满意</c:v>
                </c:pt>
                <c:pt idx="4">
                  <c:v>很不满意</c:v>
                </c:pt>
              </c:strCache>
            </c:strRef>
          </c:cat>
          <c:val>
            <c:numRef>
              <c:f>Sheet1!$B$3:$F$3</c:f>
              <c:numCache>
                <c:formatCode>0.00%</c:formatCode>
                <c:ptCount val="5"/>
                <c:pt idx="0">
                  <c:v>0.1533</c:v>
                </c:pt>
                <c:pt idx="1">
                  <c:v>0.4039</c:v>
                </c:pt>
                <c:pt idx="2">
                  <c:v>0.387500000000002</c:v>
                </c:pt>
                <c:pt idx="3">
                  <c:v>0.048</c:v>
                </c:pt>
                <c:pt idx="4">
                  <c:v>0.00740000000000004</c:v>
                </c:pt>
              </c:numCache>
            </c:numRef>
          </c:val>
        </c:ser>
        <c:ser>
          <c:idx val="2"/>
          <c:order val="2"/>
          <c:tx>
            <c:strRef>
              <c:f>Sheet1!$A$4</c:f>
              <c:strCache>
                <c:ptCount val="1"/>
                <c:pt idx="0">
                  <c:v>您对学校的实践教学（含实习、实践、见习等）满意度</c:v>
                </c:pt>
              </c:strCache>
            </c:strRef>
          </c:tx>
          <c:invertIfNegative val="0"/>
          <c:dLbls>
            <c:delete val="1"/>
          </c:dLbls>
          <c:cat>
            <c:strRef>
              <c:f>Sheet1!$B$1:$F$1</c:f>
              <c:strCache>
                <c:ptCount val="5"/>
                <c:pt idx="0">
                  <c:v>非常满意</c:v>
                </c:pt>
                <c:pt idx="1">
                  <c:v>比较满意</c:v>
                </c:pt>
                <c:pt idx="2">
                  <c:v>满意</c:v>
                </c:pt>
                <c:pt idx="3">
                  <c:v>不太满意</c:v>
                </c:pt>
                <c:pt idx="4">
                  <c:v>很不满意</c:v>
                </c:pt>
              </c:strCache>
            </c:strRef>
          </c:cat>
          <c:val>
            <c:numRef>
              <c:f>Sheet1!$B$4:$F$4</c:f>
              <c:numCache>
                <c:formatCode>0.00%</c:formatCode>
                <c:ptCount val="5"/>
                <c:pt idx="0">
                  <c:v>0.1271</c:v>
                </c:pt>
                <c:pt idx="1">
                  <c:v>0.4231</c:v>
                </c:pt>
                <c:pt idx="2">
                  <c:v>0.3477</c:v>
                </c:pt>
                <c:pt idx="3">
                  <c:v>0.0877</c:v>
                </c:pt>
                <c:pt idx="4">
                  <c:v>0.0144</c:v>
                </c:pt>
              </c:numCache>
            </c:numRef>
          </c:val>
        </c:ser>
        <c:ser>
          <c:idx val="3"/>
          <c:order val="3"/>
          <c:tx>
            <c:strRef>
              <c:f>Sheet1!$A$5</c:f>
              <c:strCache>
                <c:ptCount val="1"/>
                <c:pt idx="0">
                  <c:v>您对学校的专业设置与课程安排的合理性满意度</c:v>
                </c:pt>
              </c:strCache>
            </c:strRef>
          </c:tx>
          <c:invertIfNegative val="0"/>
          <c:dLbls>
            <c:delete val="1"/>
          </c:dLbls>
          <c:cat>
            <c:strRef>
              <c:f>Sheet1!$B$1:$F$1</c:f>
              <c:strCache>
                <c:ptCount val="5"/>
                <c:pt idx="0">
                  <c:v>非常满意</c:v>
                </c:pt>
                <c:pt idx="1">
                  <c:v>比较满意</c:v>
                </c:pt>
                <c:pt idx="2">
                  <c:v>满意</c:v>
                </c:pt>
                <c:pt idx="3">
                  <c:v>不太满意</c:v>
                </c:pt>
                <c:pt idx="4">
                  <c:v>很不满意</c:v>
                </c:pt>
              </c:strCache>
            </c:strRef>
          </c:cat>
          <c:val>
            <c:numRef>
              <c:f>Sheet1!$B$5:$F$5</c:f>
              <c:numCache>
                <c:formatCode>0.00%</c:formatCode>
                <c:ptCount val="5"/>
                <c:pt idx="0">
                  <c:v>0.116</c:v>
                </c:pt>
                <c:pt idx="1">
                  <c:v>0.4215</c:v>
                </c:pt>
                <c:pt idx="2">
                  <c:v>0.323100000000001</c:v>
                </c:pt>
                <c:pt idx="3">
                  <c:v>0.1218</c:v>
                </c:pt>
                <c:pt idx="4">
                  <c:v>0.0176</c:v>
                </c:pt>
              </c:numCache>
            </c:numRef>
          </c:val>
        </c:ser>
        <c:dLbls>
          <c:showLegendKey val="0"/>
          <c:showVal val="0"/>
          <c:showCatName val="0"/>
          <c:showSerName val="0"/>
          <c:showPercent val="0"/>
          <c:showBubbleSize val="0"/>
        </c:dLbls>
        <c:gapWidth val="150"/>
        <c:axId val="187239808"/>
        <c:axId val="187253888"/>
      </c:barChart>
      <c:catAx>
        <c:axId val="187239808"/>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187253888"/>
        <c:crosses val="autoZero"/>
        <c:auto val="1"/>
        <c:lblAlgn val="ctr"/>
        <c:lblOffset val="100"/>
        <c:noMultiLvlLbl val="0"/>
      </c:catAx>
      <c:valAx>
        <c:axId val="187253888"/>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187239808"/>
        <c:crosses val="autoZero"/>
        <c:crossBetween val="between"/>
      </c:valAx>
      <c:spPr>
        <a:solidFill>
          <a:srgbClr val="FFFFFF"/>
        </a:solid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lineChart>
        <c:grouping val="standard"/>
        <c:varyColors val="0"/>
        <c:ser>
          <c:idx val="0"/>
          <c:order val="0"/>
          <c:tx>
            <c:strRef>
              <c:f>Sheet1!$B$1</c:f>
              <c:strCache>
                <c:ptCount val="1"/>
                <c:pt idx="0">
                  <c:v>就业人数</c:v>
                </c:pt>
              </c:strCache>
            </c:strRef>
          </c:tx>
          <c:marker>
            <c:symbol val="none"/>
          </c:marker>
          <c:dLbls>
            <c:delete val="1"/>
          </c:dLbls>
          <c:cat>
            <c:strRef>
              <c:f>Sheet1!$A$2:$A$20</c:f>
              <c:strCache>
                <c:ptCount val="19"/>
                <c:pt idx="0">
                  <c:v>采矿业</c:v>
                </c:pt>
                <c:pt idx="1">
                  <c:v>电力、热力、燃气及水生产和供应业</c:v>
                </c:pt>
                <c:pt idx="2">
                  <c:v>房地产业</c:v>
                </c:pt>
                <c:pt idx="3">
                  <c:v>公共管理、社会保障和社会组织</c:v>
                </c:pt>
                <c:pt idx="4">
                  <c:v>建筑业</c:v>
                </c:pt>
                <c:pt idx="5">
                  <c:v>交通运输、仓储和邮政业</c:v>
                </c:pt>
                <c:pt idx="6">
                  <c:v>教育</c:v>
                </c:pt>
                <c:pt idx="7">
                  <c:v>金融业</c:v>
                </c:pt>
                <c:pt idx="8">
                  <c:v>居民服务、修理和其他服务业</c:v>
                </c:pt>
                <c:pt idx="9">
                  <c:v>科学研究和技术服务业</c:v>
                </c:pt>
                <c:pt idx="10">
                  <c:v>农、林、牧、渔业</c:v>
                </c:pt>
                <c:pt idx="11">
                  <c:v>批发和零售业</c:v>
                </c:pt>
                <c:pt idx="12">
                  <c:v>水利、环境和公共设施管理业</c:v>
                </c:pt>
                <c:pt idx="13">
                  <c:v>卫生和社会工作</c:v>
                </c:pt>
                <c:pt idx="14">
                  <c:v>文化、体育和娱乐业</c:v>
                </c:pt>
                <c:pt idx="15">
                  <c:v>信息传输、软件和信息技术服务业</c:v>
                </c:pt>
                <c:pt idx="16">
                  <c:v>制造业</c:v>
                </c:pt>
                <c:pt idx="17">
                  <c:v>住宿和餐饮业</c:v>
                </c:pt>
                <c:pt idx="18">
                  <c:v>租赁和商务服务业</c:v>
                </c:pt>
              </c:strCache>
            </c:strRef>
          </c:cat>
          <c:val>
            <c:numRef>
              <c:f>Sheet1!$B$2:$B$20</c:f>
              <c:numCache>
                <c:formatCode>General</c:formatCode>
                <c:ptCount val="19"/>
                <c:pt idx="0">
                  <c:v>7</c:v>
                </c:pt>
                <c:pt idx="1">
                  <c:v>19</c:v>
                </c:pt>
                <c:pt idx="2">
                  <c:v>58</c:v>
                </c:pt>
                <c:pt idx="3">
                  <c:v>52</c:v>
                </c:pt>
                <c:pt idx="4">
                  <c:v>157</c:v>
                </c:pt>
                <c:pt idx="5">
                  <c:v>26</c:v>
                </c:pt>
                <c:pt idx="6">
                  <c:v>143</c:v>
                </c:pt>
                <c:pt idx="7">
                  <c:v>257</c:v>
                </c:pt>
                <c:pt idx="8">
                  <c:v>11</c:v>
                </c:pt>
                <c:pt idx="9">
                  <c:v>28</c:v>
                </c:pt>
                <c:pt idx="10">
                  <c:v>10</c:v>
                </c:pt>
                <c:pt idx="11">
                  <c:v>214</c:v>
                </c:pt>
                <c:pt idx="12">
                  <c:v>7</c:v>
                </c:pt>
                <c:pt idx="13">
                  <c:v>9</c:v>
                </c:pt>
                <c:pt idx="14">
                  <c:v>28</c:v>
                </c:pt>
                <c:pt idx="15">
                  <c:v>145</c:v>
                </c:pt>
                <c:pt idx="16">
                  <c:v>114</c:v>
                </c:pt>
                <c:pt idx="17">
                  <c:v>19</c:v>
                </c:pt>
                <c:pt idx="18">
                  <c:v>260</c:v>
                </c:pt>
              </c:numCache>
            </c:numRef>
          </c:val>
          <c:smooth val="0"/>
        </c:ser>
        <c:ser>
          <c:idx val="1"/>
          <c:order val="1"/>
          <c:tx>
            <c:strRef>
              <c:f>Sheet1!$C$1</c:f>
              <c:strCache>
                <c:ptCount val="1"/>
                <c:pt idx="0">
                  <c:v>所占比例（%）</c:v>
                </c:pt>
              </c:strCache>
            </c:strRef>
          </c:tx>
          <c:marker>
            <c:symbol val="none"/>
          </c:marker>
          <c:dLbls>
            <c:delete val="1"/>
          </c:dLbls>
          <c:cat>
            <c:strRef>
              <c:f>Sheet1!$A$2:$A$20</c:f>
              <c:strCache>
                <c:ptCount val="19"/>
                <c:pt idx="0">
                  <c:v>采矿业</c:v>
                </c:pt>
                <c:pt idx="1">
                  <c:v>电力、热力、燃气及水生产和供应业</c:v>
                </c:pt>
                <c:pt idx="2">
                  <c:v>房地产业</c:v>
                </c:pt>
                <c:pt idx="3">
                  <c:v>公共管理、社会保障和社会组织</c:v>
                </c:pt>
                <c:pt idx="4">
                  <c:v>建筑业</c:v>
                </c:pt>
                <c:pt idx="5">
                  <c:v>交通运输、仓储和邮政业</c:v>
                </c:pt>
                <c:pt idx="6">
                  <c:v>教育</c:v>
                </c:pt>
                <c:pt idx="7">
                  <c:v>金融业</c:v>
                </c:pt>
                <c:pt idx="8">
                  <c:v>居民服务、修理和其他服务业</c:v>
                </c:pt>
                <c:pt idx="9">
                  <c:v>科学研究和技术服务业</c:v>
                </c:pt>
                <c:pt idx="10">
                  <c:v>农、林、牧、渔业</c:v>
                </c:pt>
                <c:pt idx="11">
                  <c:v>批发和零售业</c:v>
                </c:pt>
                <c:pt idx="12">
                  <c:v>水利、环境和公共设施管理业</c:v>
                </c:pt>
                <c:pt idx="13">
                  <c:v>卫生和社会工作</c:v>
                </c:pt>
                <c:pt idx="14">
                  <c:v>文化、体育和娱乐业</c:v>
                </c:pt>
                <c:pt idx="15">
                  <c:v>信息传输、软件和信息技术服务业</c:v>
                </c:pt>
                <c:pt idx="16">
                  <c:v>制造业</c:v>
                </c:pt>
                <c:pt idx="17">
                  <c:v>住宿和餐饮业</c:v>
                </c:pt>
                <c:pt idx="18">
                  <c:v>租赁和商务服务业</c:v>
                </c:pt>
              </c:strCache>
            </c:strRef>
          </c:cat>
          <c:val>
            <c:numRef>
              <c:f>Sheet1!$C$2:$C$20</c:f>
              <c:numCache>
                <c:formatCode>General</c:formatCode>
                <c:ptCount val="19"/>
                <c:pt idx="0">
                  <c:v>0.45</c:v>
                </c:pt>
                <c:pt idx="1">
                  <c:v>1.21</c:v>
                </c:pt>
                <c:pt idx="2">
                  <c:v>3.71</c:v>
                </c:pt>
                <c:pt idx="3">
                  <c:v>3.32</c:v>
                </c:pt>
                <c:pt idx="4">
                  <c:v>10.04</c:v>
                </c:pt>
                <c:pt idx="5">
                  <c:v>1.66</c:v>
                </c:pt>
                <c:pt idx="6">
                  <c:v>9.14</c:v>
                </c:pt>
                <c:pt idx="7">
                  <c:v>16.43</c:v>
                </c:pt>
                <c:pt idx="8">
                  <c:v>0.700000000000002</c:v>
                </c:pt>
                <c:pt idx="9">
                  <c:v>1.79</c:v>
                </c:pt>
                <c:pt idx="10">
                  <c:v>0.640000000000005</c:v>
                </c:pt>
                <c:pt idx="11">
                  <c:v>13.68</c:v>
                </c:pt>
                <c:pt idx="12">
                  <c:v>0.45</c:v>
                </c:pt>
                <c:pt idx="13">
                  <c:v>0.58</c:v>
                </c:pt>
                <c:pt idx="14">
                  <c:v>1.79</c:v>
                </c:pt>
                <c:pt idx="15">
                  <c:v>9.27</c:v>
                </c:pt>
                <c:pt idx="16">
                  <c:v>7.29</c:v>
                </c:pt>
                <c:pt idx="17">
                  <c:v>1.21</c:v>
                </c:pt>
                <c:pt idx="18">
                  <c:v>16.62</c:v>
                </c:pt>
              </c:numCache>
            </c:numRef>
          </c:val>
          <c:smooth val="0"/>
        </c:ser>
        <c:dLbls>
          <c:showLegendKey val="0"/>
          <c:showVal val="0"/>
          <c:showCatName val="0"/>
          <c:showSerName val="0"/>
          <c:showPercent val="0"/>
          <c:showBubbleSize val="0"/>
        </c:dLbls>
        <c:marker val="0"/>
        <c:smooth val="0"/>
        <c:axId val="187266176"/>
        <c:axId val="187267712"/>
      </c:lineChart>
      <c:catAx>
        <c:axId val="187266176"/>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187267712"/>
        <c:crosses val="autoZero"/>
        <c:auto val="1"/>
        <c:lblAlgn val="ctr"/>
        <c:lblOffset val="100"/>
        <c:noMultiLvlLbl val="0"/>
      </c:catAx>
      <c:valAx>
        <c:axId val="187267712"/>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187266176"/>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就业人数</c:v>
                </c:pt>
              </c:strCache>
            </c:strRef>
          </c:tx>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Pt>
            <c:idx val="16"/>
            <c:bubble3D val="0"/>
          </c:dPt>
          <c:dPt>
            <c:idx val="17"/>
            <c:bubble3D val="0"/>
          </c:dPt>
          <c:dPt>
            <c:idx val="18"/>
            <c:bubble3D val="0"/>
          </c:dPt>
          <c:dPt>
            <c:idx val="19"/>
            <c:bubble3D val="0"/>
          </c:dPt>
          <c:dPt>
            <c:idx val="20"/>
            <c:bubble3D val="0"/>
          </c:dPt>
          <c:dPt>
            <c:idx val="21"/>
            <c:bubble3D val="0"/>
          </c:dPt>
          <c:dPt>
            <c:idx val="22"/>
            <c:bubble3D val="0"/>
          </c:dPt>
          <c:dPt>
            <c:idx val="23"/>
            <c:bubble3D val="0"/>
          </c:dPt>
          <c:dPt>
            <c:idx val="24"/>
            <c:bubble3D val="0"/>
          </c:dPt>
          <c:dPt>
            <c:idx val="25"/>
            <c:bubble3D val="0"/>
          </c:dPt>
          <c:dLbls>
            <c:delete val="1"/>
          </c:dLbls>
          <c:cat>
            <c:strRef>
              <c:f>Sheet1!$A$2:$A$27</c:f>
              <c:strCache>
                <c:ptCount val="26"/>
                <c:pt idx="0">
                  <c:v>安徽</c:v>
                </c:pt>
                <c:pt idx="1">
                  <c:v>北京</c:v>
                </c:pt>
                <c:pt idx="2">
                  <c:v>福建</c:v>
                </c:pt>
                <c:pt idx="3">
                  <c:v>广东</c:v>
                </c:pt>
                <c:pt idx="4">
                  <c:v>广西</c:v>
                </c:pt>
                <c:pt idx="5">
                  <c:v>贵州</c:v>
                </c:pt>
                <c:pt idx="6">
                  <c:v>海南</c:v>
                </c:pt>
                <c:pt idx="7">
                  <c:v>江苏</c:v>
                </c:pt>
                <c:pt idx="8">
                  <c:v>河南</c:v>
                </c:pt>
                <c:pt idx="9">
                  <c:v>黑龙江</c:v>
                </c:pt>
                <c:pt idx="10">
                  <c:v>湖北</c:v>
                </c:pt>
                <c:pt idx="11">
                  <c:v>湖南</c:v>
                </c:pt>
                <c:pt idx="12">
                  <c:v>吉林</c:v>
                </c:pt>
                <c:pt idx="13">
                  <c:v>江西</c:v>
                </c:pt>
                <c:pt idx="14">
                  <c:v>辽宁</c:v>
                </c:pt>
                <c:pt idx="15">
                  <c:v>山东</c:v>
                </c:pt>
                <c:pt idx="16">
                  <c:v>山西</c:v>
                </c:pt>
                <c:pt idx="17">
                  <c:v>陕西</c:v>
                </c:pt>
                <c:pt idx="18">
                  <c:v>上海</c:v>
                </c:pt>
                <c:pt idx="19">
                  <c:v>四川</c:v>
                </c:pt>
                <c:pt idx="20">
                  <c:v>天津</c:v>
                </c:pt>
                <c:pt idx="21">
                  <c:v>西藏</c:v>
                </c:pt>
                <c:pt idx="22">
                  <c:v>浙江</c:v>
                </c:pt>
                <c:pt idx="23">
                  <c:v>云南</c:v>
                </c:pt>
                <c:pt idx="24">
                  <c:v>青海</c:v>
                </c:pt>
                <c:pt idx="25">
                  <c:v>重庆</c:v>
                </c:pt>
              </c:strCache>
            </c:strRef>
          </c:cat>
          <c:val>
            <c:numRef>
              <c:f>Sheet1!$B$2:$B$27</c:f>
              <c:numCache>
                <c:formatCode>General</c:formatCode>
                <c:ptCount val="26"/>
                <c:pt idx="0">
                  <c:v>13</c:v>
                </c:pt>
                <c:pt idx="1">
                  <c:v>26</c:v>
                </c:pt>
                <c:pt idx="2">
                  <c:v>12</c:v>
                </c:pt>
                <c:pt idx="3">
                  <c:v>315</c:v>
                </c:pt>
                <c:pt idx="4">
                  <c:v>6</c:v>
                </c:pt>
                <c:pt idx="5">
                  <c:v>9</c:v>
                </c:pt>
                <c:pt idx="6">
                  <c:v>12</c:v>
                </c:pt>
                <c:pt idx="7">
                  <c:v>28</c:v>
                </c:pt>
                <c:pt idx="8">
                  <c:v>8</c:v>
                </c:pt>
                <c:pt idx="9">
                  <c:v>1</c:v>
                </c:pt>
                <c:pt idx="10">
                  <c:v>22</c:v>
                </c:pt>
                <c:pt idx="11">
                  <c:v>993</c:v>
                </c:pt>
                <c:pt idx="12">
                  <c:v>1</c:v>
                </c:pt>
                <c:pt idx="13">
                  <c:v>11</c:v>
                </c:pt>
                <c:pt idx="14">
                  <c:v>5</c:v>
                </c:pt>
                <c:pt idx="15">
                  <c:v>6</c:v>
                </c:pt>
                <c:pt idx="16">
                  <c:v>4</c:v>
                </c:pt>
                <c:pt idx="17">
                  <c:v>6</c:v>
                </c:pt>
                <c:pt idx="18">
                  <c:v>28</c:v>
                </c:pt>
                <c:pt idx="19">
                  <c:v>5</c:v>
                </c:pt>
                <c:pt idx="20">
                  <c:v>2</c:v>
                </c:pt>
                <c:pt idx="21">
                  <c:v>2</c:v>
                </c:pt>
                <c:pt idx="22">
                  <c:v>30</c:v>
                </c:pt>
                <c:pt idx="23">
                  <c:v>13</c:v>
                </c:pt>
                <c:pt idx="24">
                  <c:v>1</c:v>
                </c:pt>
                <c:pt idx="25">
                  <c:v>9</c:v>
                </c:pt>
              </c:numCache>
            </c:numRef>
          </c:val>
        </c:ser>
        <c:dLbls>
          <c:showLegendKey val="0"/>
          <c:showVal val="0"/>
          <c:showCatName val="0"/>
          <c:showSerName val="0"/>
          <c:showPercent val="0"/>
          <c:showBubbleSize val="0"/>
          <c:showLeaderLines val="1"/>
        </c:dLbls>
        <c:firstSliceAng val="15"/>
      </c:pieChart>
      <c:spPr>
        <a:no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legend>
    <c:plotVisOnly val="1"/>
    <c:dispBlanksAs val="zero"/>
    <c:showDLblsOverMax val="0"/>
  </c:chart>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Sheet1!$B$1</c:f>
              <c:strCache>
                <c:ptCount val="1"/>
                <c:pt idx="0">
                  <c:v>国内升学</c:v>
                </c:pt>
              </c:strCache>
            </c:strRef>
          </c:tx>
          <c:invertIfNegative val="0"/>
          <c:dLbls>
            <c:delete val="1"/>
          </c:dLbls>
          <c:cat>
            <c:strRef>
              <c:f>Sheet1!$A$2:$A$4</c:f>
              <c:strCache>
                <c:ptCount val="3"/>
                <c:pt idx="0">
                  <c:v>2017年</c:v>
                </c:pt>
                <c:pt idx="1">
                  <c:v>2018年</c:v>
                </c:pt>
                <c:pt idx="2">
                  <c:v>2019年</c:v>
                </c:pt>
              </c:strCache>
            </c:strRef>
          </c:cat>
          <c:val>
            <c:numRef>
              <c:f>Sheet1!$B$2:$B$4</c:f>
              <c:numCache>
                <c:formatCode>General</c:formatCode>
                <c:ptCount val="3"/>
                <c:pt idx="0">
                  <c:v>131</c:v>
                </c:pt>
                <c:pt idx="1">
                  <c:v>141</c:v>
                </c:pt>
                <c:pt idx="2">
                  <c:v>181</c:v>
                </c:pt>
              </c:numCache>
            </c:numRef>
          </c:val>
        </c:ser>
        <c:ser>
          <c:idx val="1"/>
          <c:order val="1"/>
          <c:tx>
            <c:strRef>
              <c:f>Sheet1!$C$1</c:f>
              <c:strCache>
                <c:ptCount val="1"/>
                <c:pt idx="0">
                  <c:v>出国（境）留学</c:v>
                </c:pt>
              </c:strCache>
            </c:strRef>
          </c:tx>
          <c:invertIfNegative val="0"/>
          <c:dLbls>
            <c:delete val="1"/>
          </c:dLbls>
          <c:cat>
            <c:strRef>
              <c:f>Sheet1!$A$2:$A$4</c:f>
              <c:strCache>
                <c:ptCount val="3"/>
                <c:pt idx="0">
                  <c:v>2017年</c:v>
                </c:pt>
                <c:pt idx="1">
                  <c:v>2018年</c:v>
                </c:pt>
                <c:pt idx="2">
                  <c:v>2019年</c:v>
                </c:pt>
              </c:strCache>
            </c:strRef>
          </c:cat>
          <c:val>
            <c:numRef>
              <c:f>Sheet1!$C$2:$C$4</c:f>
              <c:numCache>
                <c:formatCode>General</c:formatCode>
                <c:ptCount val="3"/>
                <c:pt idx="0">
                  <c:v>46</c:v>
                </c:pt>
                <c:pt idx="1">
                  <c:v>40</c:v>
                </c:pt>
                <c:pt idx="2">
                  <c:v>52</c:v>
                </c:pt>
              </c:numCache>
            </c:numRef>
          </c:val>
        </c:ser>
        <c:dLbls>
          <c:showLegendKey val="0"/>
          <c:showVal val="0"/>
          <c:showCatName val="0"/>
          <c:showSerName val="0"/>
          <c:showPercent val="0"/>
          <c:showBubbleSize val="0"/>
        </c:dLbls>
        <c:gapWidth val="150"/>
        <c:axId val="187343232"/>
        <c:axId val="187344768"/>
      </c:barChart>
      <c:catAx>
        <c:axId val="187343232"/>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187344768"/>
        <c:crosses val="autoZero"/>
        <c:auto val="1"/>
        <c:lblAlgn val="ctr"/>
        <c:lblOffset val="100"/>
        <c:noMultiLvlLbl val="0"/>
      </c:catAx>
      <c:valAx>
        <c:axId val="18734476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187343232"/>
        <c:crosses val="autoZero"/>
        <c:crossBetween val="between"/>
      </c:valAx>
      <c:spPr>
        <a:solidFill>
          <a:srgbClr val="FFFFFF"/>
        </a:solid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stacked"/>
        <c:varyColors val="0"/>
        <c:ser>
          <c:idx val="0"/>
          <c:order val="0"/>
          <c:invertIfNegative val="0"/>
          <c:dLbls>
            <c:delete val="1"/>
          </c:dLbls>
          <c:cat>
            <c:strRef>
              <c:f>Sheet1!$A$26:$B$26</c:f>
              <c:strCache>
                <c:ptCount val="2"/>
                <c:pt idx="0">
                  <c:v>男</c:v>
                </c:pt>
                <c:pt idx="1">
                  <c:v>女</c:v>
                </c:pt>
              </c:strCache>
            </c:strRef>
          </c:cat>
          <c:val>
            <c:numRef>
              <c:f>Sheet1!$A$27:$B$27</c:f>
              <c:numCache>
                <c:formatCode>General</c:formatCode>
                <c:ptCount val="2"/>
                <c:pt idx="0">
                  <c:v>577</c:v>
                </c:pt>
                <c:pt idx="1">
                  <c:v>1834</c:v>
                </c:pt>
              </c:numCache>
            </c:numRef>
          </c:val>
        </c:ser>
        <c:dLbls>
          <c:showLegendKey val="0"/>
          <c:showVal val="0"/>
          <c:showCatName val="0"/>
          <c:showSerName val="0"/>
          <c:showPercent val="0"/>
          <c:showBubbleSize val="0"/>
        </c:dLbls>
        <c:gapWidth val="150"/>
        <c:overlap val="100"/>
        <c:axId val="173256704"/>
        <c:axId val="173259008"/>
      </c:barChart>
      <c:catAx>
        <c:axId val="173256704"/>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173259008"/>
        <c:crosses val="autoZero"/>
        <c:auto val="1"/>
        <c:lblAlgn val="ctr"/>
        <c:lblOffset val="100"/>
        <c:noMultiLvlLbl val="0"/>
      </c:catAx>
      <c:valAx>
        <c:axId val="17325900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173256704"/>
        <c:crosses val="autoZero"/>
        <c:crossBetween val="between"/>
      </c:valAx>
      <c:spPr>
        <a:solidFill>
          <a:srgbClr val="FFFFFF"/>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Sheet1!$C$1</c:f>
              <c:strCache>
                <c:ptCount val="1"/>
                <c:pt idx="0">
                  <c:v>专科生源人数</c:v>
                </c:pt>
              </c:strCache>
            </c:strRef>
          </c:tx>
          <c:explosion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Pt>
            <c:idx val="16"/>
            <c:bubble3D val="0"/>
          </c:dPt>
          <c:dPt>
            <c:idx val="17"/>
            <c:bubble3D val="0"/>
          </c:dPt>
          <c:dLbls>
            <c:delete val="1"/>
          </c:dLbls>
          <c:cat>
            <c:multiLvlStrRef>
              <c:f>Sheet1!$A$2:$B$19</c:f>
              <c:multiLvlStrCache>
                <c:ptCount val="18"/>
                <c:lvl>
                  <c:pt idx="0">
                    <c:v>汉族</c:v>
                  </c:pt>
                  <c:pt idx="1">
                    <c:v>土家族</c:v>
                  </c:pt>
                  <c:pt idx="2">
                    <c:v>苗族</c:v>
                  </c:pt>
                  <c:pt idx="3">
                    <c:v>瑶族</c:v>
                  </c:pt>
                  <c:pt idx="4">
                    <c:v>侗族</c:v>
                  </c:pt>
                  <c:pt idx="5">
                    <c:v>壮族</c:v>
                  </c:pt>
                  <c:pt idx="6">
                    <c:v>回族</c:v>
                  </c:pt>
                  <c:pt idx="7">
                    <c:v>白族</c:v>
                  </c:pt>
                  <c:pt idx="8">
                    <c:v>满族</c:v>
                  </c:pt>
                  <c:pt idx="9">
                    <c:v>蒙古族</c:v>
                  </c:pt>
                  <c:pt idx="10">
                    <c:v>布依族</c:v>
                  </c:pt>
                  <c:pt idx="11">
                    <c:v>黎族</c:v>
                  </c:pt>
                  <c:pt idx="12">
                    <c:v>藏族</c:v>
                  </c:pt>
                  <c:pt idx="13">
                    <c:v>朝鲜族</c:v>
                  </c:pt>
                  <c:pt idx="14">
                    <c:v>哈尼族</c:v>
                  </c:pt>
                  <c:pt idx="15">
                    <c:v>傈僳族</c:v>
                  </c:pt>
                  <c:pt idx="16">
                    <c:v>水族</c:v>
                  </c:pt>
                  <c:pt idx="17">
                    <c:v>彝族</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lvl>
              </c:multiLvlStrCache>
            </c:multiLvlStrRef>
          </c:cat>
          <c:val>
            <c:numRef>
              <c:f>Sheet1!$C$2:$C$19</c:f>
              <c:numCache>
                <c:formatCode>General</c:formatCode>
                <c:ptCount val="18"/>
                <c:pt idx="0">
                  <c:v>2225</c:v>
                </c:pt>
                <c:pt idx="1">
                  <c:v>76</c:v>
                </c:pt>
                <c:pt idx="2">
                  <c:v>34</c:v>
                </c:pt>
                <c:pt idx="3">
                  <c:v>17</c:v>
                </c:pt>
                <c:pt idx="4">
                  <c:v>15</c:v>
                </c:pt>
                <c:pt idx="5">
                  <c:v>13</c:v>
                </c:pt>
                <c:pt idx="6">
                  <c:v>6</c:v>
                </c:pt>
                <c:pt idx="7">
                  <c:v>6</c:v>
                </c:pt>
                <c:pt idx="8">
                  <c:v>5</c:v>
                </c:pt>
                <c:pt idx="9">
                  <c:v>2</c:v>
                </c:pt>
                <c:pt idx="10">
                  <c:v>1</c:v>
                </c:pt>
                <c:pt idx="11">
                  <c:v>3</c:v>
                </c:pt>
                <c:pt idx="12">
                  <c:v>1</c:v>
                </c:pt>
                <c:pt idx="13">
                  <c:v>1</c:v>
                </c:pt>
                <c:pt idx="14">
                  <c:v>1</c:v>
                </c:pt>
                <c:pt idx="15">
                  <c:v>1</c:v>
                </c:pt>
                <c:pt idx="16">
                  <c:v>1</c:v>
                </c:pt>
                <c:pt idx="17">
                  <c:v>3</c:v>
                </c:pt>
              </c:numCache>
            </c:numRef>
          </c:val>
        </c:ser>
        <c:dLbls>
          <c:showLegendKey val="0"/>
          <c:showVal val="0"/>
          <c:showCatName val="0"/>
          <c:showSerName val="0"/>
          <c:showPercent val="0"/>
          <c:showBubbleSize val="0"/>
          <c:showLeaderLines val="1"/>
        </c:dLbls>
        <c:firstSliceAng val="15"/>
      </c:pieChart>
      <c:spPr>
        <a:no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legend>
    <c:plotVisOnly val="1"/>
    <c:dispBlanksAs val="zero"/>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Sheet1!$B$45</c:f>
              <c:strCache>
                <c:ptCount val="1"/>
                <c:pt idx="0">
                  <c:v>生源人数</c:v>
                </c:pt>
              </c:strCache>
            </c:strRef>
          </c:tx>
          <c:explosion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Pt>
            <c:idx val="16"/>
            <c:bubble3D val="0"/>
          </c:dPt>
          <c:dPt>
            <c:idx val="17"/>
            <c:bubble3D val="0"/>
          </c:dPt>
          <c:dPt>
            <c:idx val="18"/>
            <c:bubble3D val="0"/>
          </c:dPt>
          <c:dPt>
            <c:idx val="19"/>
            <c:bubble3D val="0"/>
          </c:dPt>
          <c:dPt>
            <c:idx val="20"/>
            <c:bubble3D val="0"/>
          </c:dPt>
          <c:dPt>
            <c:idx val="21"/>
            <c:bubble3D val="0"/>
          </c:dPt>
          <c:dPt>
            <c:idx val="22"/>
            <c:bubble3D val="0"/>
          </c:dPt>
          <c:dLbls>
            <c:delete val="1"/>
          </c:dLbls>
          <c:cat>
            <c:strRef>
              <c:f>Sheet1!$A$46:$A$68</c:f>
              <c:strCache>
                <c:ptCount val="23"/>
                <c:pt idx="0">
                  <c:v>湖南省</c:v>
                </c:pt>
                <c:pt idx="1">
                  <c:v>湖北省</c:v>
                </c:pt>
                <c:pt idx="2">
                  <c:v>广东省</c:v>
                </c:pt>
                <c:pt idx="3">
                  <c:v>广西</c:v>
                </c:pt>
                <c:pt idx="4">
                  <c:v>海南</c:v>
                </c:pt>
                <c:pt idx="5">
                  <c:v>福建</c:v>
                </c:pt>
                <c:pt idx="6">
                  <c:v>贵州</c:v>
                </c:pt>
                <c:pt idx="7">
                  <c:v>河北</c:v>
                </c:pt>
                <c:pt idx="8">
                  <c:v>河南</c:v>
                </c:pt>
                <c:pt idx="9">
                  <c:v>黑龙江</c:v>
                </c:pt>
                <c:pt idx="10">
                  <c:v>吉林</c:v>
                </c:pt>
                <c:pt idx="11">
                  <c:v>江苏</c:v>
                </c:pt>
                <c:pt idx="12">
                  <c:v>江西</c:v>
                </c:pt>
                <c:pt idx="13">
                  <c:v>辽宁</c:v>
                </c:pt>
                <c:pt idx="14">
                  <c:v>山东</c:v>
                </c:pt>
                <c:pt idx="15">
                  <c:v>山西</c:v>
                </c:pt>
                <c:pt idx="16">
                  <c:v>陕西</c:v>
                </c:pt>
                <c:pt idx="17">
                  <c:v>四川</c:v>
                </c:pt>
                <c:pt idx="18">
                  <c:v>云南</c:v>
                </c:pt>
                <c:pt idx="19">
                  <c:v>安徽</c:v>
                </c:pt>
                <c:pt idx="20">
                  <c:v>浙江</c:v>
                </c:pt>
                <c:pt idx="21">
                  <c:v>重庆</c:v>
                </c:pt>
                <c:pt idx="22">
                  <c:v>香港特别行政区</c:v>
                </c:pt>
              </c:strCache>
            </c:strRef>
          </c:cat>
          <c:val>
            <c:numRef>
              <c:f>Sheet1!$B$46:$B$68</c:f>
              <c:numCache>
                <c:formatCode>General</c:formatCode>
                <c:ptCount val="23"/>
                <c:pt idx="0">
                  <c:v>1874</c:v>
                </c:pt>
                <c:pt idx="1">
                  <c:v>40</c:v>
                </c:pt>
                <c:pt idx="2">
                  <c:v>26</c:v>
                </c:pt>
                <c:pt idx="3">
                  <c:v>28</c:v>
                </c:pt>
                <c:pt idx="4">
                  <c:v>31</c:v>
                </c:pt>
                <c:pt idx="5">
                  <c:v>28</c:v>
                </c:pt>
                <c:pt idx="6">
                  <c:v>27</c:v>
                </c:pt>
                <c:pt idx="7">
                  <c:v>14</c:v>
                </c:pt>
                <c:pt idx="8">
                  <c:v>39</c:v>
                </c:pt>
                <c:pt idx="9">
                  <c:v>21</c:v>
                </c:pt>
                <c:pt idx="10">
                  <c:v>19</c:v>
                </c:pt>
                <c:pt idx="11">
                  <c:v>24</c:v>
                </c:pt>
                <c:pt idx="12">
                  <c:v>34</c:v>
                </c:pt>
                <c:pt idx="13">
                  <c:v>20</c:v>
                </c:pt>
                <c:pt idx="14">
                  <c:v>25</c:v>
                </c:pt>
                <c:pt idx="15">
                  <c:v>18</c:v>
                </c:pt>
                <c:pt idx="16">
                  <c:v>20</c:v>
                </c:pt>
                <c:pt idx="17">
                  <c:v>26</c:v>
                </c:pt>
                <c:pt idx="18">
                  <c:v>25</c:v>
                </c:pt>
                <c:pt idx="19">
                  <c:v>19</c:v>
                </c:pt>
                <c:pt idx="20">
                  <c:v>28</c:v>
                </c:pt>
                <c:pt idx="21">
                  <c:v>24</c:v>
                </c:pt>
                <c:pt idx="22">
                  <c:v>1</c:v>
                </c:pt>
              </c:numCache>
            </c:numRef>
          </c:val>
        </c:ser>
        <c:dLbls>
          <c:showLegendKey val="0"/>
          <c:showVal val="0"/>
          <c:showCatName val="0"/>
          <c:showSerName val="0"/>
          <c:showPercent val="0"/>
          <c:showBubbleSize val="0"/>
          <c:showLeaderLines val="1"/>
        </c:dLbls>
        <c:firstSliceAng val="15"/>
      </c:pieChart>
      <c:spPr>
        <a:no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legend>
    <c:plotVisOnly val="1"/>
    <c:dispBlanksAs val="zero"/>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Sheet1!$E$38:$N$38</c:f>
              <c:strCache>
                <c:ptCount val="10"/>
                <c:pt idx="0">
                  <c:v>总人数</c:v>
                </c:pt>
                <c:pt idx="1">
                  <c:v>签约就业</c:v>
                </c:pt>
                <c:pt idx="2">
                  <c:v>灵活就业</c:v>
                </c:pt>
                <c:pt idx="3">
                  <c:v>自主创业</c:v>
                </c:pt>
                <c:pt idx="4">
                  <c:v>国家、地方项目</c:v>
                </c:pt>
                <c:pt idx="5">
                  <c:v>继续深造</c:v>
                </c:pt>
                <c:pt idx="6">
                  <c:v>出国</c:v>
                </c:pt>
                <c:pt idx="7">
                  <c:v>自由职业</c:v>
                </c:pt>
                <c:pt idx="8">
                  <c:v>未就业</c:v>
                </c:pt>
                <c:pt idx="9">
                  <c:v>就业率</c:v>
                </c:pt>
              </c:strCache>
            </c:strRef>
          </c:cat>
          <c:val>
            <c:numRef>
              <c:f>Sheet1!$E$39:$N$39</c:f>
              <c:numCache>
                <c:formatCode>General</c:formatCode>
                <c:ptCount val="10"/>
                <c:pt idx="0">
                  <c:v>2411</c:v>
                </c:pt>
                <c:pt idx="1">
                  <c:v>284</c:v>
                </c:pt>
                <c:pt idx="2">
                  <c:v>1232</c:v>
                </c:pt>
                <c:pt idx="3">
                  <c:v>6</c:v>
                </c:pt>
                <c:pt idx="4">
                  <c:v>1</c:v>
                </c:pt>
                <c:pt idx="5">
                  <c:v>181</c:v>
                </c:pt>
                <c:pt idx="6">
                  <c:v>52</c:v>
                </c:pt>
                <c:pt idx="7">
                  <c:v>45</c:v>
                </c:pt>
                <c:pt idx="8">
                  <c:v>610</c:v>
                </c:pt>
                <c:pt idx="9" c:formatCode="0.00%">
                  <c:v>0.747000000000005</c:v>
                </c:pt>
              </c:numCache>
            </c:numRef>
          </c:val>
        </c:ser>
        <c:dLbls>
          <c:showLegendKey val="0"/>
          <c:showVal val="1"/>
          <c:showCatName val="0"/>
          <c:showSerName val="0"/>
          <c:showPercent val="0"/>
          <c:showBubbleSize val="0"/>
        </c:dLbls>
        <c:gapWidth val="150"/>
        <c:overlap val="-25"/>
        <c:axId val="195305472"/>
        <c:axId val="199798784"/>
      </c:barChart>
      <c:catAx>
        <c:axId val="195305472"/>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199798784"/>
        <c:crosses val="autoZero"/>
        <c:auto val="1"/>
        <c:lblAlgn val="ctr"/>
        <c:lblOffset val="100"/>
        <c:noMultiLvlLbl val="0"/>
      </c:catAx>
      <c:valAx>
        <c:axId val="199798784"/>
        <c:scaling>
          <c:orientation val="minMax"/>
        </c:scaling>
        <c:delete val="1"/>
        <c:axPos val="l"/>
        <c:numFmt formatCode="General"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195305472"/>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就业人数</c:v>
                </c:pt>
              </c:strCache>
            </c:strRef>
          </c:tx>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Pt>
            <c:idx val="16"/>
            <c:bubble3D val="0"/>
          </c:dPt>
          <c:dPt>
            <c:idx val="17"/>
            <c:bubble3D val="0"/>
          </c:dPt>
          <c:dPt>
            <c:idx val="18"/>
            <c:bubble3D val="0"/>
          </c:dPt>
          <c:dLbls>
            <c:delete val="1"/>
          </c:dLbls>
          <c:cat>
            <c:strRef>
              <c:f>Sheet1!$A$2:$A$20</c:f>
              <c:strCache>
                <c:ptCount val="19"/>
                <c:pt idx="0">
                  <c:v>采矿业</c:v>
                </c:pt>
                <c:pt idx="1">
                  <c:v>电力、热力、燃气及水生产和供应业</c:v>
                </c:pt>
                <c:pt idx="2">
                  <c:v>房地产业</c:v>
                </c:pt>
                <c:pt idx="3">
                  <c:v>公共管理、社会保障和社会组织</c:v>
                </c:pt>
                <c:pt idx="4">
                  <c:v>建筑业</c:v>
                </c:pt>
                <c:pt idx="5">
                  <c:v>交通运输、仓储和邮政业</c:v>
                </c:pt>
                <c:pt idx="6">
                  <c:v>教育</c:v>
                </c:pt>
                <c:pt idx="7">
                  <c:v>金融业</c:v>
                </c:pt>
                <c:pt idx="8">
                  <c:v>居民服务、修理和其他服务业</c:v>
                </c:pt>
                <c:pt idx="9">
                  <c:v>科学研究和技术服务业</c:v>
                </c:pt>
                <c:pt idx="10">
                  <c:v>农、林、牧、渔业</c:v>
                </c:pt>
                <c:pt idx="11">
                  <c:v>批发和零售业</c:v>
                </c:pt>
                <c:pt idx="12">
                  <c:v>水利、环境和公共设施管理业</c:v>
                </c:pt>
                <c:pt idx="13">
                  <c:v>卫生和社会工作</c:v>
                </c:pt>
                <c:pt idx="14">
                  <c:v>文化、体育和娱乐业</c:v>
                </c:pt>
                <c:pt idx="15">
                  <c:v>信息传输、软件和信息技术服务业</c:v>
                </c:pt>
                <c:pt idx="16">
                  <c:v>制造业</c:v>
                </c:pt>
                <c:pt idx="17">
                  <c:v>住宿和餐饮业</c:v>
                </c:pt>
                <c:pt idx="18">
                  <c:v>租赁和商务服务业</c:v>
                </c:pt>
              </c:strCache>
            </c:strRef>
          </c:cat>
          <c:val>
            <c:numRef>
              <c:f>Sheet1!$B$2:$B$20</c:f>
              <c:numCache>
                <c:formatCode>General</c:formatCode>
                <c:ptCount val="19"/>
                <c:pt idx="0">
                  <c:v>7</c:v>
                </c:pt>
                <c:pt idx="1">
                  <c:v>19</c:v>
                </c:pt>
                <c:pt idx="2">
                  <c:v>58</c:v>
                </c:pt>
                <c:pt idx="3">
                  <c:v>52</c:v>
                </c:pt>
                <c:pt idx="4">
                  <c:v>157</c:v>
                </c:pt>
                <c:pt idx="5">
                  <c:v>26</c:v>
                </c:pt>
                <c:pt idx="6">
                  <c:v>143</c:v>
                </c:pt>
                <c:pt idx="7">
                  <c:v>257</c:v>
                </c:pt>
                <c:pt idx="8">
                  <c:v>11</c:v>
                </c:pt>
                <c:pt idx="9">
                  <c:v>28</c:v>
                </c:pt>
                <c:pt idx="10">
                  <c:v>10</c:v>
                </c:pt>
                <c:pt idx="11">
                  <c:v>214</c:v>
                </c:pt>
                <c:pt idx="12">
                  <c:v>7</c:v>
                </c:pt>
                <c:pt idx="13">
                  <c:v>9</c:v>
                </c:pt>
                <c:pt idx="14">
                  <c:v>28</c:v>
                </c:pt>
                <c:pt idx="15">
                  <c:v>145</c:v>
                </c:pt>
                <c:pt idx="16">
                  <c:v>114</c:v>
                </c:pt>
                <c:pt idx="17">
                  <c:v>19</c:v>
                </c:pt>
                <c:pt idx="18">
                  <c:v>260</c:v>
                </c:pt>
              </c:numCache>
            </c:numRef>
          </c:val>
        </c:ser>
        <c:ser>
          <c:idx val="1"/>
          <c:order val="1"/>
          <c:tx>
            <c:strRef>
              <c:f>Sheet1!$C$1</c:f>
              <c:strCache>
                <c:ptCount val="1"/>
                <c:pt idx="0">
                  <c:v>所占比例（%）</c:v>
                </c:pt>
              </c:strCache>
            </c:strRef>
          </c:tx>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Pt>
            <c:idx val="16"/>
            <c:bubble3D val="0"/>
          </c:dPt>
          <c:dPt>
            <c:idx val="17"/>
            <c:bubble3D val="0"/>
          </c:dPt>
          <c:dPt>
            <c:idx val="18"/>
            <c:bubble3D val="0"/>
          </c:dPt>
          <c:dLbls>
            <c:delete val="1"/>
          </c:dLbls>
          <c:cat>
            <c:strRef>
              <c:f>Sheet1!$A$2:$A$20</c:f>
              <c:strCache>
                <c:ptCount val="19"/>
                <c:pt idx="0">
                  <c:v>采矿业</c:v>
                </c:pt>
                <c:pt idx="1">
                  <c:v>电力、热力、燃气及水生产和供应业</c:v>
                </c:pt>
                <c:pt idx="2">
                  <c:v>房地产业</c:v>
                </c:pt>
                <c:pt idx="3">
                  <c:v>公共管理、社会保障和社会组织</c:v>
                </c:pt>
                <c:pt idx="4">
                  <c:v>建筑业</c:v>
                </c:pt>
                <c:pt idx="5">
                  <c:v>交通运输、仓储和邮政业</c:v>
                </c:pt>
                <c:pt idx="6">
                  <c:v>教育</c:v>
                </c:pt>
                <c:pt idx="7">
                  <c:v>金融业</c:v>
                </c:pt>
                <c:pt idx="8">
                  <c:v>居民服务、修理和其他服务业</c:v>
                </c:pt>
                <c:pt idx="9">
                  <c:v>科学研究和技术服务业</c:v>
                </c:pt>
                <c:pt idx="10">
                  <c:v>农、林、牧、渔业</c:v>
                </c:pt>
                <c:pt idx="11">
                  <c:v>批发和零售业</c:v>
                </c:pt>
                <c:pt idx="12">
                  <c:v>水利、环境和公共设施管理业</c:v>
                </c:pt>
                <c:pt idx="13">
                  <c:v>卫生和社会工作</c:v>
                </c:pt>
                <c:pt idx="14">
                  <c:v>文化、体育和娱乐业</c:v>
                </c:pt>
                <c:pt idx="15">
                  <c:v>信息传输、软件和信息技术服务业</c:v>
                </c:pt>
                <c:pt idx="16">
                  <c:v>制造业</c:v>
                </c:pt>
                <c:pt idx="17">
                  <c:v>住宿和餐饮业</c:v>
                </c:pt>
                <c:pt idx="18">
                  <c:v>租赁和商务服务业</c:v>
                </c:pt>
              </c:strCache>
            </c:strRef>
          </c:cat>
          <c:val>
            <c:numRef>
              <c:f>Sheet1!$C$2:$C$20</c:f>
              <c:numCache>
                <c:formatCode>General</c:formatCode>
                <c:ptCount val="19"/>
                <c:pt idx="0">
                  <c:v>0.45</c:v>
                </c:pt>
                <c:pt idx="1">
                  <c:v>1.21</c:v>
                </c:pt>
                <c:pt idx="2">
                  <c:v>3.71</c:v>
                </c:pt>
                <c:pt idx="3">
                  <c:v>3.32</c:v>
                </c:pt>
                <c:pt idx="4">
                  <c:v>10.04</c:v>
                </c:pt>
                <c:pt idx="5">
                  <c:v>1.66</c:v>
                </c:pt>
                <c:pt idx="6">
                  <c:v>9.14</c:v>
                </c:pt>
                <c:pt idx="7">
                  <c:v>16.43</c:v>
                </c:pt>
                <c:pt idx="8">
                  <c:v>0.700000000000002</c:v>
                </c:pt>
                <c:pt idx="9">
                  <c:v>1.79</c:v>
                </c:pt>
                <c:pt idx="10">
                  <c:v>0.640000000000004</c:v>
                </c:pt>
                <c:pt idx="11">
                  <c:v>13.68</c:v>
                </c:pt>
                <c:pt idx="12">
                  <c:v>0.45</c:v>
                </c:pt>
                <c:pt idx="13">
                  <c:v>0.58</c:v>
                </c:pt>
                <c:pt idx="14">
                  <c:v>1.79</c:v>
                </c:pt>
                <c:pt idx="15">
                  <c:v>9.27</c:v>
                </c:pt>
                <c:pt idx="16">
                  <c:v>7.29</c:v>
                </c:pt>
                <c:pt idx="17">
                  <c:v>1.21</c:v>
                </c:pt>
                <c:pt idx="18">
                  <c:v>16.62</c:v>
                </c:pt>
              </c:numCache>
            </c:numRef>
          </c:val>
        </c:ser>
        <c:dLbls>
          <c:showLegendKey val="0"/>
          <c:showVal val="0"/>
          <c:showCatName val="0"/>
          <c:showSerName val="0"/>
          <c:showPercent val="0"/>
          <c:showBubbleSize val="0"/>
          <c:showLeaderLines val="1"/>
        </c:dLbls>
        <c:firstSliceAng val="15"/>
      </c:pieChart>
      <c:spPr>
        <a:no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legend>
    <c:plotVisOnly val="1"/>
    <c:dispBlanksAs val="zero"/>
    <c:showDLblsOverMax val="0"/>
  </c:chart>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Lbls>
            <c:delete val="1"/>
          </c:dLbls>
          <c:cat>
            <c:strRef>
              <c:f>Sheet1!$A$1:$A$11</c:f>
              <c:strCache>
                <c:ptCount val="11"/>
                <c:pt idx="0">
                  <c:v>国有企业</c:v>
                </c:pt>
                <c:pt idx="1">
                  <c:v>机关</c:v>
                </c:pt>
                <c:pt idx="2">
                  <c:v>其他企业</c:v>
                </c:pt>
                <c:pt idx="3">
                  <c:v>其他事业单位</c:v>
                </c:pt>
                <c:pt idx="4">
                  <c:v>三资企业</c:v>
                </c:pt>
                <c:pt idx="5">
                  <c:v>国家基层项目</c:v>
                </c:pt>
                <c:pt idx="6">
                  <c:v>升学</c:v>
                </c:pt>
                <c:pt idx="7">
                  <c:v>自由职业</c:v>
                </c:pt>
                <c:pt idx="8">
                  <c:v>自主创业</c:v>
                </c:pt>
                <c:pt idx="9">
                  <c:v>出国、出境</c:v>
                </c:pt>
                <c:pt idx="10">
                  <c:v>部队</c:v>
                </c:pt>
              </c:strCache>
            </c:strRef>
          </c:cat>
          <c:val>
            <c:numRef>
              <c:f>Sheet1!$B$1:$B$11</c:f>
              <c:numCache>
                <c:formatCode>General</c:formatCode>
                <c:ptCount val="11"/>
                <c:pt idx="0">
                  <c:v>330</c:v>
                </c:pt>
                <c:pt idx="1">
                  <c:v>40</c:v>
                </c:pt>
                <c:pt idx="2">
                  <c:v>1116</c:v>
                </c:pt>
                <c:pt idx="3">
                  <c:v>7</c:v>
                </c:pt>
                <c:pt idx="4">
                  <c:v>22</c:v>
                </c:pt>
                <c:pt idx="5">
                  <c:v>1</c:v>
                </c:pt>
                <c:pt idx="6">
                  <c:v>181</c:v>
                </c:pt>
                <c:pt idx="7">
                  <c:v>45</c:v>
                </c:pt>
                <c:pt idx="8">
                  <c:v>6</c:v>
                </c:pt>
                <c:pt idx="9">
                  <c:v>52</c:v>
                </c:pt>
                <c:pt idx="10">
                  <c:v>1</c:v>
                </c:pt>
              </c:numCache>
            </c:numRef>
          </c:val>
        </c:ser>
        <c:dLbls>
          <c:showLegendKey val="0"/>
          <c:showVal val="0"/>
          <c:showCatName val="0"/>
          <c:showSerName val="0"/>
          <c:showPercent val="0"/>
          <c:showBubbleSize val="0"/>
          <c:showLeaderLines val="1"/>
        </c:dLbls>
        <c:firstSliceAng val="15"/>
      </c:pieChart>
      <c:spPr>
        <a:no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legend>
    <c:plotVisOnly val="1"/>
    <c:dispBlanksAs val="zero"/>
    <c:showDLblsOverMax val="0"/>
  </c:chart>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explosion val="0"/>
          <c:dPt>
            <c:idx val="0"/>
            <c:bubble3D val="0"/>
          </c:dPt>
          <c:dPt>
            <c:idx val="1"/>
            <c:bubble3D val="0"/>
          </c:dPt>
          <c:dLbls>
            <c:delete val="1"/>
          </c:dLbls>
          <c:cat>
            <c:strRef>
              <c:f>Sheet1!$A$1:$A$2</c:f>
              <c:strCache>
                <c:ptCount val="2"/>
                <c:pt idx="0">
                  <c:v>国内升学</c:v>
                </c:pt>
                <c:pt idx="1">
                  <c:v>出国（境）升学</c:v>
                </c:pt>
              </c:strCache>
            </c:strRef>
          </c:cat>
          <c:val>
            <c:numRef>
              <c:f>Sheet1!$B$1:$B$2</c:f>
              <c:numCache>
                <c:formatCode>General</c:formatCode>
                <c:ptCount val="2"/>
                <c:pt idx="0">
                  <c:v>181</c:v>
                </c:pt>
                <c:pt idx="1">
                  <c:v>52</c:v>
                </c:pt>
              </c:numCache>
            </c:numRef>
          </c:val>
        </c:ser>
        <c:dLbls>
          <c:showLegendKey val="0"/>
          <c:showVal val="0"/>
          <c:showCatName val="0"/>
          <c:showSerName val="0"/>
          <c:showPercent val="0"/>
          <c:showBubbleSize val="0"/>
          <c:showLeaderLines val="1"/>
        </c:dLbls>
        <c:firstSliceAng val="15"/>
      </c:pieChart>
      <c:spPr>
        <a:no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legend>
    <c:plotVisOnly val="1"/>
    <c:dispBlanksAs val="zero"/>
    <c:showDLblsOverMax val="0"/>
  </c:chart>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1"/>
    </mc:Choice>
    <mc:Fallback>
      <c:style val="21"/>
    </mc:Fallback>
  </mc:AlternateContent>
  <c:chart>
    <c:autoTitleDeleted val="1"/>
    <c:plotArea>
      <c:layout/>
      <c:barChart>
        <c:barDir val="col"/>
        <c:grouping val="clustered"/>
        <c:varyColors val="0"/>
        <c:ser>
          <c:idx val="0"/>
          <c:order val="0"/>
          <c:invertIfNegative val="0"/>
          <c:dLbls>
            <c:delete val="1"/>
          </c:dLbls>
          <c:cat>
            <c:strRef>
              <c:f>Sheet1!$A$1:$E$1</c:f>
              <c:strCache>
                <c:ptCount val="5"/>
                <c:pt idx="0">
                  <c:v>非常相关</c:v>
                </c:pt>
                <c:pt idx="1">
                  <c:v>相关</c:v>
                </c:pt>
                <c:pt idx="2">
                  <c:v>比较相关</c:v>
                </c:pt>
                <c:pt idx="3">
                  <c:v>相关度比较小</c:v>
                </c:pt>
                <c:pt idx="4">
                  <c:v>很不相关</c:v>
                </c:pt>
              </c:strCache>
            </c:strRef>
          </c:cat>
          <c:val>
            <c:numRef>
              <c:f>Sheet1!$A$2:$E$2</c:f>
              <c:numCache>
                <c:formatCode>General</c:formatCode>
                <c:ptCount val="5"/>
                <c:pt idx="0">
                  <c:v>44</c:v>
                </c:pt>
                <c:pt idx="1">
                  <c:v>68</c:v>
                </c:pt>
                <c:pt idx="2">
                  <c:v>50</c:v>
                </c:pt>
                <c:pt idx="3">
                  <c:v>33</c:v>
                </c:pt>
                <c:pt idx="4">
                  <c:v>24</c:v>
                </c:pt>
              </c:numCache>
            </c:numRef>
          </c:val>
        </c:ser>
        <c:dLbls>
          <c:showLegendKey val="0"/>
          <c:showVal val="0"/>
          <c:showCatName val="0"/>
          <c:showSerName val="0"/>
          <c:showPercent val="0"/>
          <c:showBubbleSize val="0"/>
        </c:dLbls>
        <c:gapWidth val="150"/>
        <c:axId val="186516992"/>
        <c:axId val="186518528"/>
      </c:barChart>
      <c:catAx>
        <c:axId val="186516992"/>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186518528"/>
        <c:crosses val="autoZero"/>
        <c:auto val="1"/>
        <c:lblAlgn val="ctr"/>
        <c:lblOffset val="100"/>
        <c:noMultiLvlLbl val="0"/>
      </c:catAx>
      <c:valAx>
        <c:axId val="18651852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186516992"/>
        <c:crosses val="autoZero"/>
        <c:crossBetween val="between"/>
      </c:valAx>
      <c:spPr>
        <a:solidFill>
          <a:srgbClr val="FFFFFF"/>
        </a:solidFill>
        <a:ln>
          <a:noFill/>
        </a:ln>
        <a:effectLst/>
      </c:spPr>
    </c:plotArea>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42</Pages>
  <Words>3298</Words>
  <Characters>18802</Characters>
  <Lines>156</Lines>
  <Paragraphs>44</Paragraphs>
  <TotalTime>247</TotalTime>
  <ScaleCrop>false</ScaleCrop>
  <LinksUpToDate>false</LinksUpToDate>
  <CharactersWithSpaces>22056</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2017-10-26T14:33:00Z</dcterms:created>
  <dc:creator>Administrator</dc:creator>
  <cp:lastModifiedBy>sally</cp:lastModifiedBy>
  <cp:lastPrinted>2019-12-23T07:40:00Z</cp:lastPrinted>
  <dcterms:modified xsi:type="dcterms:W3CDTF">2019-12-31T09:16:06Z</dcterms:modified>
  <cp:revision>310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