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黑体" w:hAnsi="黑体" w:eastAsia="黑体" w:cs="黑体"/>
          <w:b w:val="0"/>
          <w:bCs/>
          <w:color w:val="auto"/>
          <w:spacing w:val="-10"/>
          <w:kern w:val="0"/>
          <w:sz w:val="32"/>
          <w:szCs w:val="32"/>
        </w:rPr>
      </w:pPr>
      <w:r>
        <w:rPr>
          <w:rFonts w:hint="eastAsia" w:ascii="黑体" w:hAnsi="黑体" w:eastAsia="黑体" w:cs="黑体"/>
          <w:b w:val="0"/>
          <w:bCs/>
          <w:color w:val="auto"/>
          <w:spacing w:val="-10"/>
          <w:kern w:val="0"/>
          <w:sz w:val="32"/>
          <w:szCs w:val="32"/>
        </w:rPr>
        <w:t>附件1</w:t>
      </w:r>
    </w:p>
    <w:p>
      <w:pPr>
        <w:snapToGrid w:val="0"/>
        <w:spacing w:line="600" w:lineRule="exact"/>
        <w:ind w:firstLine="841" w:firstLineChars="200"/>
        <w:jc w:val="center"/>
        <w:rPr>
          <w:rFonts w:ascii="华文中宋" w:hAnsi="华文中宋" w:eastAsia="华文中宋" w:cs="Times New Roman"/>
          <w:b/>
          <w:color w:val="auto"/>
          <w:spacing w:val="-10"/>
          <w:kern w:val="0"/>
          <w:sz w:val="44"/>
          <w:szCs w:val="44"/>
        </w:rPr>
      </w:pPr>
      <w:bookmarkStart w:id="0" w:name="_GoBack"/>
      <w:r>
        <w:rPr>
          <w:rFonts w:ascii="华文中宋" w:hAnsi="华文中宋" w:eastAsia="华文中宋" w:cs="Times New Roman"/>
          <w:b/>
          <w:color w:val="auto"/>
          <w:spacing w:val="-10"/>
          <w:kern w:val="0"/>
          <w:sz w:val="44"/>
          <w:szCs w:val="44"/>
        </w:rPr>
        <w:t>湖南省教育科学“十四五”规划</w:t>
      </w:r>
    </w:p>
    <w:p>
      <w:pPr>
        <w:snapToGrid w:val="0"/>
        <w:spacing w:line="600" w:lineRule="exact"/>
        <w:ind w:firstLine="841" w:firstLineChars="200"/>
        <w:jc w:val="center"/>
        <w:rPr>
          <w:rFonts w:ascii="华文中宋" w:hAnsi="华文中宋" w:eastAsia="华文中宋" w:cs="Times New Roman"/>
          <w:b/>
          <w:color w:val="auto"/>
          <w:spacing w:val="-10"/>
          <w:kern w:val="0"/>
          <w:sz w:val="44"/>
          <w:szCs w:val="44"/>
        </w:rPr>
      </w:pPr>
      <w:r>
        <w:rPr>
          <w:rFonts w:ascii="华文中宋" w:hAnsi="华文中宋" w:eastAsia="华文中宋" w:cs="Times New Roman"/>
          <w:b/>
          <w:color w:val="auto"/>
          <w:spacing w:val="-10"/>
          <w:kern w:val="0"/>
          <w:sz w:val="44"/>
          <w:szCs w:val="44"/>
        </w:rPr>
        <w:t>2023年专项课题申报指南</w:t>
      </w:r>
    </w:p>
    <w:bookmarkEnd w:id="0"/>
    <w:p>
      <w:pPr>
        <w:rPr>
          <w:rFonts w:ascii="Times New Roman" w:hAnsi="Times New Roman" w:cs="Times New Roman"/>
          <w:color w:val="auto"/>
        </w:rPr>
      </w:pPr>
    </w:p>
    <w:p>
      <w:pPr>
        <w:spacing w:line="600" w:lineRule="exact"/>
        <w:ind w:firstLine="640" w:firstLineChars="200"/>
        <w:jc w:val="left"/>
        <w:rPr>
          <w:rFonts w:ascii="黑体" w:hAnsi="黑体" w:eastAsia="黑体" w:cs="Times New Roman"/>
          <w:bCs/>
          <w:color w:val="auto"/>
          <w:sz w:val="32"/>
          <w:szCs w:val="32"/>
        </w:rPr>
      </w:pPr>
      <w:r>
        <w:rPr>
          <w:rFonts w:ascii="黑体" w:hAnsi="黑体" w:eastAsia="黑体" w:cs="Times New Roman"/>
          <w:color w:val="auto"/>
          <w:sz w:val="32"/>
          <w:szCs w:val="32"/>
        </w:rPr>
        <w:t>一、</w:t>
      </w:r>
      <w:r>
        <w:rPr>
          <w:rFonts w:ascii="黑体" w:hAnsi="黑体" w:eastAsia="黑体" w:cs="Times New Roman"/>
          <w:bCs/>
          <w:color w:val="auto"/>
          <w:sz w:val="32"/>
          <w:szCs w:val="32"/>
        </w:rPr>
        <w:t>中小学教师发展研究专项课题指南</w:t>
      </w:r>
    </w:p>
    <w:p>
      <w:pPr>
        <w:ind w:firstLine="640" w:firstLineChars="200"/>
        <w:textAlignment w:val="baseline"/>
        <w:rPr>
          <w:rFonts w:ascii="Times New Roman" w:hAnsi="Times New Roman" w:eastAsia="方正大标宋简体" w:cs="Times New Roman"/>
          <w:bCs/>
          <w:color w:val="auto"/>
          <w:sz w:val="32"/>
          <w:szCs w:val="32"/>
        </w:rPr>
      </w:pPr>
      <w:r>
        <w:rPr>
          <w:rFonts w:ascii="Times New Roman" w:hAnsi="Times New Roman" w:eastAsia="仿宋_GB2312" w:cs="Times New Roman"/>
          <w:color w:val="auto"/>
          <w:sz w:val="32"/>
          <w:szCs w:val="32"/>
        </w:rPr>
        <w:t>本年度该专项全部设一般资助课题。</w:t>
      </w:r>
      <w:r>
        <w:rPr>
          <w:rFonts w:hint="eastAsia" w:ascii="Times New Roman" w:hAnsi="Times New Roman" w:eastAsia="仿宋_GB2312" w:cs="Times New Roman"/>
          <w:color w:val="auto"/>
          <w:sz w:val="32"/>
          <w:szCs w:val="32"/>
        </w:rPr>
        <w:t>课题均须依据以下研究领域和方向，可自拟题目，</w:t>
      </w:r>
      <w:r>
        <w:rPr>
          <w:rFonts w:ascii="Times New Roman" w:hAnsi="Times New Roman" w:eastAsia="仿宋_GB2312" w:cs="Times New Roman"/>
          <w:color w:val="auto"/>
          <w:sz w:val="32"/>
          <w:szCs w:val="32"/>
        </w:rPr>
        <w:t>不在该研究领域和方向的选题原则上不予立项。</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1.1大数据支持下的中小学教师培训模式研究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1.2基于中小学教师需求的校本培训模式实践研究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1.3混合式研修培训模式研究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1.4高等院校与地方教育部门教师培训协同机制研究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1.5非师范类毕业青年教师教育教学能力提升培训模式研究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1.6市县中小学教师常态化自主选学机制行动研究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1.7乡村振兴背景下精准帮扶培训乡村教师的实践研究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1.8中小学教师精准培训实施模式研究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1.9中小学教师“一对一”精准帮扶式培训的实践研究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1.10新时代中小学教师培训数字化转型实践研究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1.11文化教育导师培训课程与研修模式研究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1.12中华优秀传统文化专项培训的实践研究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1.13农村薄弱中小学校长管理能力提升研究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1.14指向学生学科思维发展的教师专业能力培训研究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1.15信息化视域下中小学教师教育教学胜任力培训研究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1.16核心素养导向的学科教师教学评价能力培训研究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1.1聚焦“教—学—评”一体化主题的教师培训设计与实施研究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1.18湖南省新时代名师名校长培养计划实施模式研究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1.19新时代名师名校长培养实效性提升的研究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1.20湖南省名师名校长培养现状的调查研究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1.21县域教师发展中心机构整合与功能转型实践研究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1.22教育数字化转型背景下中小学教师发展机构专业化建设研究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1.23中小学教师培训与人工智能融合发展研究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1.24县域中小学书法教育培训的机制建设与项目实施研究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1.25中小学书法教育特色学校创建的途径与策略研究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1.26教育人工智能背景下乡村教师自主选学课程构建研究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1.27乡村振兴时代背景下特岗教师的影响力提升研究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1.28中小学校职业倦怠期教师专业发展研究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1.29新时代中小学教师专业发展路径与策略研究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1.30县级中小学骨干教师队伍建设研究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1.31人口变化背景下基础教育教师队伍建设研究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1.32薄弱学校驻点帮扶实践研究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1.33特殊教育学校教师队伍专业化发展研究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1.34“四有好老师”成长规律的研究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1.35乡村学校音、体、美教师专业发展研究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1.36基于成果导向的教师培训管理机制研究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1.37新时代中小学教师资格定期注册制度有效性实施研究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1.38新时代中小学教师资格面试考官质量评估研究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1.39新时代中小学教师资格面试工作质量监测研究</w:t>
      </w:r>
    </w:p>
    <w:p>
      <w:pPr>
        <w:spacing w:line="600" w:lineRule="exact"/>
        <w:ind w:firstLine="640" w:firstLineChars="200"/>
        <w:rPr>
          <w:rFonts w:ascii="Times New Roman" w:hAnsi="Times New Roman" w:eastAsia="仿宋" w:cs="Times New Roman"/>
          <w:color w:val="auto"/>
          <w:kern w:val="0"/>
          <w:sz w:val="32"/>
          <w:szCs w:val="32"/>
        </w:rPr>
      </w:pPr>
      <w:r>
        <w:rPr>
          <w:rFonts w:ascii="Times New Roman" w:hAnsi="Times New Roman" w:eastAsia="仿宋" w:cs="Times New Roman"/>
          <w:color w:val="auto"/>
          <w:kern w:val="0"/>
          <w:sz w:val="32"/>
          <w:szCs w:val="32"/>
        </w:rPr>
        <w:t>1.40湖南省中小学教师职评工作现状研究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二、国家教育考试研究专项课题指南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本年度该专项设重点资助课题和一般资助课题。课题研究期限为 2 年。课题均须依据以下研究领域和方向自拟题目，不在该研究领域和方向的选题原则上不予立项。</w:t>
      </w:r>
    </w:p>
    <w:p>
      <w:pPr>
        <w:tabs>
          <w:tab w:val="left" w:pos="560"/>
        </w:tabs>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2.1中国式教育考试现代化研究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2.2落实立德树人、提升评价质量的高考内容改革研究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2.3新高考背景下高中生综合素质评价的体系构建与应用研究 </w:t>
      </w:r>
    </w:p>
    <w:p>
      <w:pPr>
        <w:tabs>
          <w:tab w:val="left" w:pos="560"/>
        </w:tabs>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2.4国家教育考试管理模式研究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2.5国家教育考试技术赋能的手段及工作模式研究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2.6新时代教育考试机构建设的策略与路径研究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2.7国家教育考试风险预警与防控机制研究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2.8基于新高考的学科核心素养、关键能力考查与人才评价机制研究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2.9国家教育考试命题质量保障体系建设研究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2.10基于赋分制的学科学业水平选择性考试命题研究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2.11国家教育考试施考程序标准化管理模式创新研究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2.12新高考背景下的院校专业组设置研究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2.13高考选科与大学专业适配性科学研究 </w:t>
      </w:r>
    </w:p>
    <w:p>
      <w:pPr>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2.14疫情背景下大规模国家教育考试的组织、管理与实施研究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2.15国家教育考试考点安全管理模式优化研究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2.16国家教育考试科研方法与能力建设研究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2.17基于高中生综合素质评价的体美劳学科核心素养评价方式研究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2.18清廉招考文化研究</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2.19基于规范管理的高等教育自学考试社会助学体系研究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2.20自学考试学习资源开发建设研究 </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2.21全民终身学习教育体系背景下自学考试改革方向与发展路径研究</w:t>
      </w:r>
    </w:p>
    <w:p>
      <w:pPr>
        <w:ind w:firstLine="640" w:firstLineChars="200"/>
        <w:textAlignment w:val="baseline"/>
        <w:rPr>
          <w:rFonts w:ascii="Times New Roman" w:hAnsi="Times New Roman" w:eastAsia="仿宋_GB2312"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三、高校学生就业创业研究专项课题指南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w:t>
      </w:r>
      <w:r>
        <w:rPr>
          <w:rFonts w:hint="eastAsia" w:ascii="Times New Roman" w:hAnsi="Times New Roman" w:eastAsia="仿宋_GB2312" w:cs="Times New Roman"/>
          <w:color w:val="auto"/>
          <w:sz w:val="32"/>
          <w:szCs w:val="32"/>
        </w:rPr>
        <w:t>直接选用以下选题申报，或</w:t>
      </w:r>
      <w:r>
        <w:rPr>
          <w:rFonts w:ascii="Times New Roman" w:hAnsi="Times New Roman" w:eastAsia="仿宋_GB2312" w:cs="Times New Roman"/>
          <w:color w:val="auto"/>
          <w:sz w:val="32"/>
          <w:szCs w:val="32"/>
        </w:rPr>
        <w:t>依据以下选题研究领域和方向自拟题目，不在该研究领域和方向的选题原则上不予立项。</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3.1基于科教兴国战略的高校毕业生就业创业研究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3.2基于人才强国战略的高校毕业生就业创业研究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3.3服务创新驱动发展战略的高校毕业生就业创业研究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3.4强化就业优先战略背景下高校毕业生就业创业研究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3.5青年工作战略性定位与高校毕业生就业创业工作研究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3.6加快建设国家战略人才力量与高校毕业生就业创业研究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3.7高校毕业生高质量就业研究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3.8高校毕业生就业形势与发展趋势研究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3.9国家和地方高校毕业生就业创业政策研究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3.10高校毕业生重点群体就业渠道拓展研究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3.11高校困难毕业生群体就业帮扶研究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3.12高校书记校长访企拓岗促就业长效机制研究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3.13高校毕业生就业创业服务“三高四新”战略发展研究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3.14“三高四新”战略实施对高校毕业生就业创业的影响研究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3.15“三高四新”战略背景下高校毕业生就业供需状况及对接机制研究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3.16高校毕业生就业意向调研与校园招聘联动机制研究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3.17高校毕业生就业大数据平台的设计及应用研究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3.18新业态对高校毕业生就业影响研究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3.19.基于数字化转型的高校毕业生就业市场开拓研究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3.20高校毕业生市场化社会化就业机制研究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3.21到国家战略性重点行业、重点领域高校毕业生就业创业现状及引导机制研究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3.22湖南高校毕业生就业市场发展研究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3.23高校毕业生重点领域就业引导机制研究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3.24高校毕业生灵活就业研究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3.25装备制造领域高校毕业生就业创业研究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3.26人工智能发展对高校毕业生就业的影响研究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3.27大数据技术推进就业供需精准智能匹配研究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3.28机器学习在高校毕业生就业预测预警中的应用研究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3.29新时代高校毕业生毕业去向登记制度研究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3.30引导和鼓励大学生基层就业长效机制研究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3.31.高校毕业生“慢就业”“缓就业”研究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3.32高校就业工作评价体系研究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3.33基于现代化建设的高校毕业生高质量就业体系研究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3.34非省会城市高校毕业生就业策略研究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3.35大学生求职渠道变迁研究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3.36高校就业创业指导名师工作室建设研究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3.37高校毕业生就业创业管理服务信息化机制研究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3.38高校毕业生就业质量报告现状与完善路径研究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3.39新时代高校就业创业指导服务体系建设研究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3.40高校招生、培养、就业一体化联动机制研究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3.41新高考背景下高校新生生涯发展教育研究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3.42有效支持大学生创业的路径和机制研究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3.42就业思政理念下高校毕业生就业工作全员参与机制建构研究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3.44“就业育人”视域下大学生职业发展大数据研究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3.45推进大中小学职业生涯发展教育一体化建设研究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3.46高校就业指导课程现状、模式和发展方向研究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3.47高校就业创业指导骨干教师核心能力素养研究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3.48高校就业创业“金课”建设的理论与实践研究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3.49全省高校就业工作队伍的现状、问题与发展对策研究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3.50高校创新创业和就业指导教育能力评价研究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3.51“高校—社会”协同培育大学生创新创业能力机制研究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3.52新时代高校毕业生就业观念变迁及引导策略研究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3.53引导大学生树立正确就业观的对策研究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3.54引导高校毕业生保持平实之心的策略研究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3.55大学生职业生涯发展与就业指导课程体系建设研究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3.56高等教育普及化时代大学生就业心理研究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3.57大学生创新创业教育在技能型社会建设中的作用及实践路径研究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3.58高校毕业生就业创业权益保障现状及其对策研究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3.59高校毕业生就业创业服务乡村振兴研究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3.60新时代高校大学生创新创业孵化基地建设及其作用发挥研究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3.61职普融通产教融合科教融汇与高校毕业生就业创业研究</w:t>
      </w:r>
    </w:p>
    <w:p>
      <w:pPr>
        <w:ind w:firstLine="640" w:firstLineChars="200"/>
        <w:textAlignment w:val="baseline"/>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3.62课程思政视域下高校创新创业教育改革理论与实践</w:t>
      </w:r>
      <w:r>
        <w:rPr>
          <w:rFonts w:hint="eastAsia" w:ascii="Times New Roman" w:hAnsi="Times New Roman" w:eastAsia="仿宋_GB2312" w:cs="Times New Roman"/>
          <w:color w:val="auto"/>
          <w:sz w:val="32"/>
          <w:szCs w:val="32"/>
          <w:lang w:eastAsia="zh-CN"/>
        </w:rPr>
        <w:t>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3.63课程思政视域下大学生职业生涯发展与就业指导课程体系优化研究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3.64“大思政”视域下高校就业育人有效模式研究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3.65新时代教育评价改革背景下大学生创新创业育人模式研究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3.66社会主义核心价值观融入大学生就业观教育研究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3.67创新创业教育生态研究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3.68双创孵化基地促进高校就业创业机制与路径研究 </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3.69基于产教融合的大学生创业支持体系研究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3.70大学生创业带动就业的促进机制研究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3.71创新创业教育在培养技能型人才的作用及实践路径研究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3.72家教家风与大学生就业价值取向研究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3.73高校创新创业教育评价研究</w:t>
      </w:r>
    </w:p>
    <w:p>
      <w:pPr>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3.74数字化背景下高校毕业生档案管理研究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四、家庭经济困难学生资助研究专项课题指南</w:t>
      </w:r>
    </w:p>
    <w:p>
      <w:pPr>
        <w:ind w:firstLine="640" w:firstLineChars="200"/>
        <w:textAlignment w:val="baseline"/>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本年度该专项设重点资助课题和一般资助课题。课题均须依据以下研究领域和方向自拟题目，不在该研究领域和方向的选题原则上不予立项。</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4.1新时代完善学生资助体系研究（分学段）</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4.2高质量学生资助体系建设研究（分学段）</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4.3学生资助工作风险分析与防范机制研究（分学段）</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4.4资助政策实施效益分析与实证研究（分学段）</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4.5基于贫困生和谐发展的立体化资助模式构建研究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4.6以绩效为导向的学生资助评价体系构建研究</w:t>
      </w:r>
    </w:p>
    <w:p>
      <w:pPr>
        <w:pStyle w:val="4"/>
        <w:ind w:firstLine="640"/>
        <w:rPr>
          <w:rFonts w:eastAsia="仿宋"/>
          <w:color w:val="auto"/>
          <w:sz w:val="32"/>
          <w:szCs w:val="32"/>
        </w:rPr>
      </w:pPr>
      <w:r>
        <w:rPr>
          <w:rFonts w:eastAsia="仿宋_GB2312"/>
          <w:color w:val="auto"/>
          <w:sz w:val="32"/>
          <w:szCs w:val="32"/>
          <w:shd w:val="clear" w:color="auto" w:fill="FFFFFF"/>
        </w:rPr>
        <w:t>4.7</w:t>
      </w:r>
      <w:r>
        <w:rPr>
          <w:rFonts w:eastAsia="仿宋"/>
          <w:color w:val="auto"/>
          <w:sz w:val="32"/>
          <w:szCs w:val="32"/>
        </w:rPr>
        <w:t>资助育人的理论框架与实践途径研究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4.8全面依法治国背景下的依法资助研究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4.9国家教育信息化战略背景下学生资助智能化研究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4.10学生资助文化建设研究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4.11资助宣传和育人活动创新性与实效性研究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4.12湖南省乡村振兴重点帮扶地区家庭经济困难学生资助现状调查与分析</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4.13优化学生资助资金分配机制研究</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4.14特殊群体资助保障研究</w:t>
      </w:r>
    </w:p>
    <w:p>
      <w:pPr>
        <w:pStyle w:val="4"/>
        <w:ind w:left="638" w:leftChars="304" w:firstLine="0" w:firstLineChars="0"/>
        <w:rPr>
          <w:rFonts w:hint="eastAsia" w:eastAsia="仿宋_GB2312"/>
          <w:color w:val="auto"/>
          <w:sz w:val="32"/>
          <w:szCs w:val="32"/>
          <w:shd w:val="clear" w:color="auto" w:fill="FFFFFF"/>
          <w:lang w:eastAsia="zh-CN"/>
        </w:rPr>
      </w:pPr>
      <w:r>
        <w:rPr>
          <w:rFonts w:eastAsia="仿宋_GB2312"/>
          <w:color w:val="auto"/>
          <w:sz w:val="32"/>
          <w:szCs w:val="32"/>
          <w:shd w:val="clear" w:color="auto" w:fill="FFFFFF"/>
        </w:rPr>
        <w:t>4.15学校从事业（学费）收入计提资助经费管理和使用研究</w:t>
      </w:r>
    </w:p>
    <w:p>
      <w:pPr>
        <w:pStyle w:val="4"/>
        <w:ind w:left="638" w:leftChars="304" w:firstLine="0" w:firstLineChars="0"/>
        <w:rPr>
          <w:rFonts w:eastAsia="仿宋_GB2312"/>
          <w:color w:val="auto"/>
          <w:sz w:val="32"/>
          <w:szCs w:val="32"/>
          <w:shd w:val="clear" w:color="auto" w:fill="FFFFFF"/>
        </w:rPr>
      </w:pPr>
      <w:r>
        <w:rPr>
          <w:rFonts w:eastAsia="仿宋_GB2312"/>
          <w:color w:val="auto"/>
          <w:sz w:val="32"/>
          <w:szCs w:val="32"/>
          <w:shd w:val="clear" w:color="auto" w:fill="FFFFFF"/>
        </w:rPr>
        <w:t>4.16服兵役教育资助管理对策研究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4.17弹性学制下退役士兵资助管理研究</w:t>
      </w:r>
    </w:p>
    <w:p>
      <w:pPr>
        <w:pStyle w:val="4"/>
        <w:ind w:firstLine="640"/>
        <w:rPr>
          <w:rFonts w:eastAsia="仿宋"/>
          <w:color w:val="auto"/>
          <w:sz w:val="32"/>
          <w:szCs w:val="32"/>
        </w:rPr>
      </w:pPr>
      <w:r>
        <w:rPr>
          <w:rFonts w:eastAsia="仿宋_GB2312"/>
          <w:color w:val="auto"/>
          <w:sz w:val="32"/>
          <w:szCs w:val="32"/>
          <w:shd w:val="clear" w:color="auto" w:fill="FFFFFF"/>
        </w:rPr>
        <w:t>4.18户籍制度改革背景下中职精准</w:t>
      </w:r>
      <w:r>
        <w:rPr>
          <w:rFonts w:eastAsia="仿宋"/>
          <w:color w:val="auto"/>
          <w:sz w:val="32"/>
          <w:szCs w:val="32"/>
        </w:rPr>
        <w:t>资助实践研究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4.19中职</w:t>
      </w:r>
      <w:r>
        <w:rPr>
          <w:rFonts w:eastAsia="仿宋"/>
          <w:color w:val="auto"/>
          <w:sz w:val="32"/>
          <w:szCs w:val="32"/>
        </w:rPr>
        <w:t>家庭经济困难学生精准认定与分档</w:t>
      </w:r>
      <w:r>
        <w:rPr>
          <w:rFonts w:eastAsia="仿宋_GB2312"/>
          <w:color w:val="auto"/>
          <w:sz w:val="32"/>
          <w:szCs w:val="32"/>
          <w:shd w:val="clear" w:color="auto" w:fill="FFFFFF"/>
        </w:rPr>
        <w:t>资助研究</w:t>
      </w:r>
    </w:p>
    <w:p>
      <w:pPr>
        <w:pStyle w:val="4"/>
        <w:ind w:firstLine="640"/>
        <w:rPr>
          <w:rFonts w:eastAsia="仿宋"/>
          <w:color w:val="auto"/>
          <w:sz w:val="32"/>
          <w:szCs w:val="32"/>
        </w:rPr>
      </w:pPr>
      <w:r>
        <w:rPr>
          <w:rFonts w:eastAsia="仿宋_GB2312"/>
          <w:color w:val="auto"/>
          <w:sz w:val="32"/>
          <w:szCs w:val="32"/>
          <w:shd w:val="clear" w:color="auto" w:fill="FFFFFF"/>
        </w:rPr>
        <w:t>4.20新《职业教育法》实施背景下中职学生资助政策与职业教育发展相关性研究</w:t>
      </w:r>
    </w:p>
    <w:p>
      <w:pPr>
        <w:widowControl/>
        <w:ind w:left="638" w:leftChars="304"/>
        <w:jc w:val="left"/>
        <w:rPr>
          <w:rFonts w:hint="eastAsia" w:ascii="Times New Roman" w:hAnsi="Times New Roman" w:eastAsia="仿宋_GB2312"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rPr>
        <w:t>4.21学前教育、义务教育、普通高中教育差别化资助研究</w:t>
      </w:r>
    </w:p>
    <w:p>
      <w:pPr>
        <w:widowControl/>
        <w:ind w:left="638" w:leftChars="304"/>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4.22学前教育特困幼儿免费教育资助政策研究</w:t>
      </w:r>
    </w:p>
    <w:p>
      <w:pPr>
        <w:pStyle w:val="4"/>
        <w:ind w:left="638" w:leftChars="304" w:firstLine="0" w:firstLineChars="0"/>
        <w:rPr>
          <w:rFonts w:hint="eastAsia" w:eastAsia="仿宋_GB2312"/>
          <w:color w:val="auto"/>
          <w:sz w:val="32"/>
          <w:szCs w:val="32"/>
          <w:shd w:val="clear" w:color="auto" w:fill="FFFFFF"/>
          <w:lang w:eastAsia="zh-CN"/>
        </w:rPr>
      </w:pPr>
      <w:r>
        <w:rPr>
          <w:rFonts w:eastAsia="仿宋_GB2312"/>
          <w:color w:val="auto"/>
          <w:sz w:val="32"/>
          <w:szCs w:val="32"/>
          <w:shd w:val="clear" w:color="auto" w:fill="FFFFFF"/>
        </w:rPr>
        <w:t>4.23家庭经济困难儿童健康成长帮扶机制研究</w:t>
      </w:r>
    </w:p>
    <w:p>
      <w:pPr>
        <w:pStyle w:val="4"/>
        <w:ind w:left="638" w:leftChars="304" w:firstLine="0" w:firstLineChars="0"/>
        <w:rPr>
          <w:rFonts w:eastAsia="仿宋_GB2312"/>
          <w:color w:val="auto"/>
          <w:sz w:val="32"/>
          <w:szCs w:val="32"/>
          <w:shd w:val="clear" w:color="auto" w:fill="FFFFFF"/>
        </w:rPr>
      </w:pPr>
      <w:r>
        <w:rPr>
          <w:rFonts w:eastAsia="仿宋_GB2312"/>
          <w:color w:val="auto"/>
          <w:sz w:val="32"/>
          <w:szCs w:val="32"/>
          <w:shd w:val="clear" w:color="auto" w:fill="FFFFFF"/>
        </w:rPr>
        <w:t>4.24国家助学贷款背景下高校学生诚信体系建设研究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4.25完善国家助学贷款还款救助机制研究</w:t>
      </w:r>
    </w:p>
    <w:p>
      <w:pPr>
        <w:pStyle w:val="4"/>
        <w:ind w:firstLine="640"/>
        <w:rPr>
          <w:rFonts w:eastAsia="仿宋_GB2312"/>
          <w:color w:val="auto"/>
          <w:sz w:val="32"/>
          <w:szCs w:val="32"/>
          <w:shd w:val="clear" w:color="auto" w:fill="FFFFFF"/>
        </w:rPr>
      </w:pPr>
      <w:r>
        <w:rPr>
          <w:rFonts w:eastAsia="仿宋_GB2312"/>
          <w:color w:val="auto"/>
          <w:sz w:val="32"/>
          <w:szCs w:val="32"/>
          <w:shd w:val="clear" w:color="auto" w:fill="FFFFFF"/>
        </w:rPr>
        <w:t>4.26构建生源地信用助学贷款长效机制研究</w:t>
      </w:r>
    </w:p>
    <w:p>
      <w:pPr>
        <w:widowControl/>
        <w:ind w:firstLine="640" w:firstLineChars="200"/>
        <w:jc w:val="left"/>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4.27社会救助与政府资助有机结合长效机制研究</w:t>
      </w:r>
    </w:p>
    <w:p>
      <w:pPr>
        <w:spacing w:line="560" w:lineRule="exact"/>
        <w:ind w:firstLine="643" w:firstLineChars="200"/>
        <w:rPr>
          <w:rFonts w:ascii="Times New Roman" w:hAnsi="Times New Roman" w:eastAsia="仿宋" w:cs="Times New Roman"/>
          <w:b/>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五、教育财建研究专项课题指南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本年度该专项设重点资助课题（5.1-5.5）和一般资助课题（5.6-5.47）。课题均须依据以下研究领域和方向自拟题目，不在该研究领域和方向的选题原则上不予立项。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5.1实现高校审计全覆盖监督体系构建与实践研究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5.2湖南省高等院校预算执行绩效评价体系构建研究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5.3预算一体化与绩效预算管理研究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5.4省属高校基建项目全生命周期管理研究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5.5政府采购内部控制机制研究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5.6预算项目库建设</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5.7高校跨年度预算平衡机制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5.8高校财务管理风险</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5.9预算绩效管理</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5.10政府会计制度</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5.11资金安全大数据监控</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5.12义务教育寄宿制学校生均成本研究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5.13公办园和普惠性民办园办学成本比较研究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5.14高等职业院校差异化生均拨款标准研究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5.15财政教育投入政策研究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5.16乡村振兴背景下农村中小学校建设发展路径研究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5.17高校闲置存量国有资产盘活处置问题研究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5.18国有资产绩效评价管理研究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5.19政府采购绩效评价管理研究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5.20政府采购文件标准化管理研究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5.21世界银行结果导向型贷款管理研究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5.22智慧高校基建项目信息化全过程管理应用研究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5.23校园建筑安全信息化监测管理应用研究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5.24省属高校基建项目从策划生成到竣工验收全过程指导指南研究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5.25高校基建项目内部控制管理标准化模板研究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5.26高校校园中长期整体规划与校园文化建设研究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5.27主管部门防范高校基建廉政风险制度建设研究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5.28高校后勤服务项目招投标现状、问题及对策研究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5.29高校学生食堂经营过度商业化问题对策研究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5.30推进学校合同节能、节水管理工作机制及配套政策研究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5.31中小学食堂集约式供餐、配送现状、问题及政策研究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5.32农村义务教育营养改善计划提质增效研究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5.33构建中小学食堂县级“互联网+监管”平台机制研究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5.34高等学校学历继续教育财务管理和教育收费问题研究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5.35我省中小学课后服务收费的现状、问题、对策研究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5.36党委（党组）审计委员会领导下的教育审计基础能力建设研究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5.37“业财”融合背景下的教育审计信息化建设的理论与实践研究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5.38审计全覆盖背景下内部审计人才队伍建设及协同工作机制研究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5.39贯通审计、纪检、巡察和教育督导的监督大格局体系研究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5.40开展高校资产审计的重点、难点及策略研究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5.41审计全覆盖视角下高校内部审计整改质效提升机制及实现路径研究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5.42基于EPC模式的高校基本建设项目审计研究与实践</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5.43高校开展研究性审计的实现路径研究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5.44教育审计促进高校内涵式发展的作用机制与实现路径研究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5.45教育审计在清廉学校建设的作用研究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5.46教育审计成果协同运用长效机制研究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5.47新形势下以研究型为主导的教育审计团队建设研究</w:t>
      </w:r>
    </w:p>
    <w:p>
      <w:pPr>
        <w:spacing w:line="600" w:lineRule="exact"/>
        <w:ind w:firstLine="640" w:firstLineChars="200"/>
        <w:jc w:val="left"/>
        <w:rPr>
          <w:rFonts w:ascii="黑体" w:hAnsi="黑体" w:eastAsia="黑体" w:cs="Times New Roman"/>
          <w:color w:val="auto"/>
          <w:sz w:val="32"/>
          <w:szCs w:val="32"/>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六、教育督导研究专项课题指南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本年度该专项设重点资助课题和一般资助课题。课题均须依据以下研究领域和方向自拟题目，不在该研究领域和方向的选题原则上不予立项。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6.1教育督导体制机制改革研究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6.2政府履职教育职责评价研究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6.3党政主要领导干部履职教育职责评价研究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6.4学前教育普及普惠督导评估研究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6.5义务教育优质均衡发展督导评估研究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6.6幼儿园办园质量督导评估研究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6.7义务教育学校综合督导评估研究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6.8高中阶段学校督导评估研究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6.9民办学校督导评估研究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6.10中小学（幼儿园）校（园）长任期督导评估研究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6.11基础教育质量监测研究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6.12普通高等学校督导评估研究（包括本科院校或高职高专院校）</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6.13学校内部督导机制研究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6.14运用信息技术手段开展督导评估研究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6.15督学准入与队伍管理研究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6.16督学责任区建设研究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6.17中小学幼儿园责任督学挂牌督导模式研究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6.18督学工作待遇保障机制研究（包括职称评定、工作经费使用等方面）</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6.19教育督导结果运用机制研究（八项结果运用环节或其中几项结果运用环节）</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6.20教育督导问责实践研究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6.21督导评估工具与标准研发</w:t>
      </w:r>
    </w:p>
    <w:p>
      <w:pPr>
        <w:spacing w:line="600" w:lineRule="exact"/>
        <w:rPr>
          <w:rFonts w:ascii="Times New Roman" w:hAnsi="Times New Roman" w:eastAsia="方正小标宋简体" w:cs="Times New Roman"/>
          <w:color w:val="auto"/>
          <w:sz w:val="44"/>
          <w:szCs w:val="44"/>
        </w:rPr>
      </w:pPr>
    </w:p>
    <w:p>
      <w:pPr>
        <w:spacing w:line="600" w:lineRule="exact"/>
        <w:ind w:firstLine="640" w:firstLineChars="200"/>
        <w:jc w:val="left"/>
        <w:rPr>
          <w:rFonts w:ascii="黑体" w:hAnsi="黑体" w:eastAsia="黑体" w:cs="Times New Roman"/>
          <w:color w:val="auto"/>
          <w:sz w:val="32"/>
          <w:szCs w:val="32"/>
        </w:rPr>
      </w:pPr>
      <w:r>
        <w:rPr>
          <w:rFonts w:ascii="黑体" w:hAnsi="黑体" w:eastAsia="黑体" w:cs="Times New Roman"/>
          <w:color w:val="auto"/>
          <w:sz w:val="32"/>
          <w:szCs w:val="32"/>
        </w:rPr>
        <w:t>七、职业教育研究专项课题指南</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本年度该专项设重点资助课题（7.1-7.10）和一般资助课题（7.11-7.30）。课题均须依据以下研究领域和方向自拟题目，不在该研究领域和方向的选题原则上不予立项。</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7.1职业教育与区域产业发展匹配模式研究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7.2职业教育集团实体化运作机制研究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7.3职业教育数字化转型研究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7.4县域职业教育多元化发展研究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7.5职业教育与普通教育学习成果融通互认研究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7.6职业学校实施学分课程研究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7.7高水平“双师型”教师队伍建设机制研究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7.8职业学校教材建设研究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7.9市县职业教育中心学校设置与管理研究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7.10职业教育省级招生平台建设研究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7.11湖南职业教育发展战略及路径研究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7.12湖南职业教育类型发展政策体系研究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7.13职业教育服务现代化产业体系研究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7.14区域职业教育发展模式研究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7.15本科层次职业教育专业建设研究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7.16高职本科教育发展研究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7.17职业院校兼职教师队伍建设研究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7.18职业教育改革发展保障措施研究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7.19地方职业院校办学适应性研究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7.20职业院校二级管理体系研究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7.21职业院校毕业生发展保障机制研究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7.22构建区域性职教师资培养动态联盟模式与机制研究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7.23职业启蒙教育研究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7.24职业教育高质量培训体系研究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7.25职业院校与行业联合培养基层专业技术人员模式研究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7.26中职学校党建工作研究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7.27职业教育集团管理模式研究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7.28职业教育资源共建共享研究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7.29职业学校教师岗位设置与职务（职称）评聘制度研究</w:t>
      </w:r>
    </w:p>
    <w:p>
      <w:pPr>
        <w:autoSpaceDE w:val="0"/>
        <w:ind w:firstLine="640" w:firstLineChars="200"/>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7.30联合举办职业学校各方责权利关系研究</w:t>
      </w:r>
    </w:p>
    <w:p>
      <w:pPr>
        <w:autoSpaceDE w:val="0"/>
        <w:ind w:firstLine="640" w:firstLineChars="200"/>
        <w:rPr>
          <w:rFonts w:ascii="Times New Roman" w:hAnsi="Times New Roman" w:eastAsia="仿宋_GB2312" w:cs="Times New Roman"/>
          <w:color w:val="auto"/>
          <w:sz w:val="32"/>
          <w:szCs w:val="32"/>
          <w:shd w:val="clear" w:color="auto" w:fill="FFFFFF"/>
        </w:rPr>
      </w:pPr>
    </w:p>
    <w:p>
      <w:pPr>
        <w:jc w:val="left"/>
        <w:rPr>
          <w:rFonts w:ascii="Times New Roman" w:hAnsi="Times New Roman" w:cs="Times New Roman"/>
          <w:b/>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zRhM2IwMTYxYjdmNDc3YzJiYTg5NGVkMjMxMjUifQ=="/>
  </w:docVars>
  <w:rsids>
    <w:rsidRoot w:val="41EA4678"/>
    <w:rsid w:val="41EA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于扬</dc:creator>
  <cp:lastModifiedBy>于扬</cp:lastModifiedBy>
  <dcterms:modified xsi:type="dcterms:W3CDTF">2023-01-13T07:33:10Z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1A17A133568C445E9A879C06FCCA26B3</vt:lpwstr>
  </property>
</Properties>
</file>