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bidi w:val="0"/>
        <w:adjustRightInd/>
        <w:snapToGrid/>
        <w:spacing w:before="210" w:beforeAutospacing="0" w:after="100" w:line="520" w:lineRule="exact"/>
        <w:jc w:val="center"/>
        <w:textAlignment w:val="auto"/>
        <w:rPr>
          <w:rFonts w:ascii="微软雅黑" w:hAnsi="微软雅黑" w:eastAsia="微软雅黑" w:cs="微软雅黑"/>
          <w:color w:val="FF0000"/>
          <w:sz w:val="30"/>
          <w:szCs w:val="30"/>
          <w:shd w:val="clear" w:color="auto" w:fill="FFFFFF"/>
        </w:rPr>
      </w:pPr>
      <w:r>
        <w:rPr>
          <w:rFonts w:hint="eastAsia" w:ascii="微软雅黑" w:hAnsi="微软雅黑" w:eastAsia="微软雅黑" w:cs="微软雅黑"/>
          <w:color w:val="FF0000"/>
          <w:sz w:val="30"/>
          <w:szCs w:val="30"/>
          <w:shd w:val="clear" w:color="auto" w:fill="FFFFFF"/>
        </w:rPr>
        <w:t>湖南财政经济学院</w:t>
      </w:r>
    </w:p>
    <w:p>
      <w:pPr>
        <w:pStyle w:val="2"/>
        <w:keepNext w:val="0"/>
        <w:keepLines w:val="0"/>
        <w:pageBreakBefore w:val="0"/>
        <w:widowControl/>
        <w:shd w:val="clear" w:color="auto" w:fill="FFFFFF"/>
        <w:kinsoku/>
        <w:wordWrap/>
        <w:overflowPunct/>
        <w:topLinePunct w:val="0"/>
        <w:bidi w:val="0"/>
        <w:adjustRightInd/>
        <w:snapToGrid/>
        <w:spacing w:before="210" w:beforeAutospacing="0" w:after="100" w:line="520" w:lineRule="exact"/>
        <w:jc w:val="center"/>
        <w:textAlignment w:val="auto"/>
        <w:rPr>
          <w:rFonts w:ascii="微软雅黑" w:hAnsi="微软雅黑" w:eastAsia="微软雅黑" w:cs="微软雅黑"/>
          <w:sz w:val="30"/>
          <w:szCs w:val="30"/>
          <w:shd w:val="clear" w:color="auto" w:fill="FFFFFF"/>
        </w:rPr>
      </w:pPr>
      <w:r>
        <w:rPr>
          <w:rFonts w:hint="eastAsia" w:ascii="微软雅黑" w:hAnsi="微软雅黑" w:eastAsia="微软雅黑" w:cs="微软雅黑"/>
          <w:sz w:val="30"/>
          <w:szCs w:val="30"/>
          <w:shd w:val="clear" w:color="auto" w:fill="FFFFFF"/>
        </w:rPr>
        <w:t>金融学专业(CFA</w:t>
      </w:r>
      <w:r>
        <w:rPr>
          <w:rFonts w:hint="eastAsia" w:ascii="微软雅黑" w:hAnsi="微软雅黑" w:eastAsia="微软雅黑" w:cs="微软雅黑"/>
          <w:color w:val="FF0000"/>
          <w:sz w:val="30"/>
          <w:szCs w:val="30"/>
          <w:shd w:val="clear" w:color="auto" w:fill="FFFFFF"/>
          <w:vertAlign w:val="superscript"/>
        </w:rPr>
        <w:t>®</w:t>
      </w:r>
      <w:r>
        <w:rPr>
          <w:rFonts w:hint="eastAsia" w:ascii="微软雅黑" w:hAnsi="微软雅黑" w:eastAsia="微软雅黑" w:cs="微软雅黑"/>
          <w:sz w:val="30"/>
          <w:szCs w:val="30"/>
          <w:shd w:val="clear" w:color="auto" w:fill="FFFFFF"/>
        </w:rPr>
        <w:t>&amp;FRM</w:t>
      </w:r>
      <w:r>
        <w:rPr>
          <w:rFonts w:hint="eastAsia" w:ascii="微软雅黑" w:hAnsi="微软雅黑" w:eastAsia="微软雅黑" w:cs="微软雅黑"/>
          <w:color w:val="FF0000"/>
          <w:sz w:val="30"/>
          <w:szCs w:val="30"/>
          <w:shd w:val="clear" w:color="auto" w:fill="FFFFFF"/>
          <w:vertAlign w:val="superscript"/>
        </w:rPr>
        <w:t>®</w:t>
      </w:r>
      <w:r>
        <w:rPr>
          <w:rFonts w:hint="eastAsia" w:ascii="微软雅黑" w:hAnsi="微软雅黑" w:eastAsia="微软雅黑" w:cs="微软雅黑"/>
          <w:sz w:val="30"/>
          <w:szCs w:val="30"/>
          <w:shd w:val="clear" w:color="auto" w:fill="FFFFFF"/>
        </w:rPr>
        <w:t>方向班)招生简章</w:t>
      </w:r>
    </w:p>
    <w:p>
      <w:pPr>
        <w:keepNext w:val="0"/>
        <w:keepLines w:val="0"/>
        <w:pageBreakBefore w:val="0"/>
        <w:numPr>
          <w:ilvl w:val="0"/>
          <w:numId w:val="1"/>
        </w:numPr>
        <w:kinsoku/>
        <w:wordWrap/>
        <w:overflowPunct/>
        <w:topLinePunct w:val="0"/>
        <w:bidi w:val="0"/>
        <w:adjustRightInd/>
        <w:snapToGrid/>
        <w:spacing w:line="520" w:lineRule="exact"/>
        <w:ind w:firstLine="425" w:firstLineChars="18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金融学专业(CFA®&amp;FRM®方向班)简介</w:t>
      </w:r>
    </w:p>
    <w:p>
      <w:pPr>
        <w:keepNext w:val="0"/>
        <w:keepLines w:val="0"/>
        <w:pageBreakBefore w:val="0"/>
        <w:kinsoku/>
        <w:wordWrap/>
        <w:overflowPunct/>
        <w:topLinePunct w:val="0"/>
        <w:bidi w:val="0"/>
        <w:adjustRightInd/>
        <w:snapToGrid/>
        <w:spacing w:line="520" w:lineRule="exact"/>
        <w:ind w:firstLine="420" w:firstLineChars="200"/>
        <w:textAlignment w:val="auto"/>
        <w:rPr>
          <w:rFonts w:ascii="微软雅黑" w:hAnsi="微软雅黑" w:eastAsia="微软雅黑" w:cs="微软雅黑"/>
          <w:kern w:val="0"/>
          <w:szCs w:val="21"/>
          <w:shd w:val="clear" w:color="auto" w:fill="FFFFFF"/>
        </w:rPr>
      </w:pPr>
      <w:r>
        <w:rPr>
          <w:rFonts w:hint="eastAsia" w:ascii="微软雅黑" w:hAnsi="微软雅黑" w:eastAsia="微软雅黑" w:cs="微软雅黑"/>
          <w:kern w:val="0"/>
          <w:szCs w:val="21"/>
          <w:shd w:val="clear" w:color="auto" w:fill="FFFFFF"/>
        </w:rPr>
        <w:t>金融学专业是我校首批升本且历史最为悠久的四大专业之一。2018年，金融学科被认定为湖南省高等学校“双一流”应用特色建设学科；2019年，被评为省级一流本科专业建设点，2020年入选国家级一流本科专业建设点。该专业高级职称教师占比50%以上，具有博士学位教师70%以上，具有国外学习和访学经历的教师10人，拥有教育部“新世纪优秀人才支持计划”人选和享受国务院政府特殊津贴专家2人。该专业毕业生就业质量高，行业认可度高。2017年，湖南财政经济学院为进一步加强金融学专业学生培养质量，提高金融学专业毕业生就业质量，在原有金融学专业下设立了CFA</w:t>
      </w:r>
      <w:r>
        <w:rPr>
          <w:rFonts w:hint="eastAsia" w:ascii="微软雅黑" w:hAnsi="微软雅黑" w:eastAsia="微软雅黑" w:cs="微软雅黑"/>
          <w:kern w:val="0"/>
          <w:szCs w:val="21"/>
          <w:shd w:val="clear" w:color="auto" w:fill="FFFFFF"/>
          <w:vertAlign w:val="superscript"/>
        </w:rPr>
        <w:t>®</w:t>
      </w:r>
      <w:r>
        <w:rPr>
          <w:rFonts w:hint="eastAsia" w:ascii="微软雅黑" w:hAnsi="微软雅黑" w:eastAsia="微软雅黑" w:cs="微软雅黑"/>
          <w:kern w:val="0"/>
          <w:szCs w:val="21"/>
          <w:shd w:val="clear" w:color="auto" w:fill="FFFFFF"/>
        </w:rPr>
        <w:t>&amp;FRM</w:t>
      </w:r>
      <w:r>
        <w:rPr>
          <w:rFonts w:hint="eastAsia" w:ascii="微软雅黑" w:hAnsi="微软雅黑" w:eastAsia="微软雅黑" w:cs="微软雅黑"/>
          <w:kern w:val="0"/>
          <w:szCs w:val="21"/>
          <w:shd w:val="clear" w:color="auto" w:fill="FFFFFF"/>
          <w:vertAlign w:val="superscript"/>
        </w:rPr>
        <w:t>®</w:t>
      </w:r>
      <w:r>
        <w:rPr>
          <w:rFonts w:hint="eastAsia" w:ascii="微软雅黑" w:hAnsi="微软雅黑" w:eastAsia="微软雅黑" w:cs="微软雅黑"/>
          <w:kern w:val="0"/>
          <w:szCs w:val="21"/>
          <w:shd w:val="clear" w:color="auto" w:fill="FFFFFF"/>
        </w:rPr>
        <w:t>方向特色实验班，该方向班旨在培养具有金融风险管理和金融分析等方面的国际高端职业技能并有开拓创新精神的国际化高素质应用型金融人才，实现了国内本科学历教育与国际高端职业教育的良好结合。</w:t>
      </w:r>
      <w:r>
        <w:rPr>
          <w:rFonts w:hint="eastAsia" w:ascii="微软雅黑" w:hAnsi="微软雅黑" w:eastAsia="微软雅黑" w:cs="微软雅黑"/>
          <w:color w:val="FF0000"/>
          <w:kern w:val="0"/>
          <w:szCs w:val="21"/>
          <w:shd w:val="clear" w:color="auto" w:fill="FFFFFF"/>
        </w:rPr>
        <w:t>目前该实验班累积加入学生</w:t>
      </w:r>
      <w:r>
        <w:rPr>
          <w:rFonts w:hint="eastAsia" w:ascii="微软雅黑" w:hAnsi="微软雅黑" w:eastAsia="微软雅黑" w:cs="微软雅黑"/>
          <w:color w:val="FF0000"/>
          <w:kern w:val="0"/>
          <w:szCs w:val="21"/>
          <w:shd w:val="clear" w:color="auto" w:fill="FFFFFF"/>
          <w:lang w:val="en-US" w:eastAsia="zh-CN"/>
        </w:rPr>
        <w:t>450多</w:t>
      </w:r>
      <w:r>
        <w:rPr>
          <w:rFonts w:hint="eastAsia" w:ascii="微软雅黑" w:hAnsi="微软雅黑" w:eastAsia="微软雅黑" w:cs="微软雅黑"/>
          <w:color w:val="FF0000"/>
          <w:kern w:val="0"/>
          <w:szCs w:val="21"/>
          <w:shd w:val="clear" w:color="auto" w:fill="FFFFFF"/>
        </w:rPr>
        <w:t>人</w:t>
      </w:r>
      <w:r>
        <w:rPr>
          <w:rFonts w:ascii="微软雅黑" w:hAnsi="微软雅黑" w:eastAsia="微软雅黑" w:cs="微软雅黑"/>
          <w:kern w:val="0"/>
          <w:szCs w:val="21"/>
          <w:shd w:val="clear" w:color="auto" w:fill="FFFFFF"/>
        </w:rPr>
        <w:t>，</w:t>
      </w:r>
      <w:r>
        <w:rPr>
          <w:rFonts w:hint="eastAsia" w:ascii="微软雅黑" w:hAnsi="微软雅黑" w:eastAsia="微软雅黑" w:cs="微软雅黑"/>
          <w:kern w:val="0"/>
          <w:szCs w:val="21"/>
          <w:shd w:val="clear" w:color="auto" w:fill="FFFFFF"/>
        </w:rPr>
        <w:t>就业及考研成绩皆取得好成绩。</w:t>
      </w:r>
    </w:p>
    <w:p>
      <w:pPr>
        <w:keepNext w:val="0"/>
        <w:keepLines w:val="0"/>
        <w:pageBreakBefore w:val="0"/>
        <w:kinsoku/>
        <w:wordWrap/>
        <w:overflowPunct/>
        <w:topLinePunct w:val="0"/>
        <w:bidi w:val="0"/>
        <w:adjustRightInd/>
        <w:snapToGrid/>
        <w:spacing w:line="520" w:lineRule="exact"/>
        <w:ind w:firstLine="420" w:firstLineChars="200"/>
        <w:textAlignment w:val="auto"/>
        <w:rPr>
          <w:rFonts w:ascii="微软雅黑" w:hAnsi="微软雅黑" w:eastAsia="微软雅黑" w:cs="微软雅黑"/>
          <w:kern w:val="0"/>
          <w:szCs w:val="21"/>
          <w:shd w:val="clear" w:color="auto" w:fill="FFFFFF"/>
        </w:rPr>
      </w:pPr>
      <w:r>
        <w:rPr>
          <w:rFonts w:ascii="微软雅黑" w:hAnsi="微软雅黑" w:eastAsia="微软雅黑" w:cs="微软雅黑"/>
          <w:b/>
          <w:bCs/>
          <w:kern w:val="0"/>
          <w:szCs w:val="21"/>
          <w:shd w:val="clear" w:color="auto" w:fill="FFFFFF"/>
        </w:rPr>
        <w:t>2022</w:t>
      </w:r>
      <w:r>
        <w:rPr>
          <w:rFonts w:hint="eastAsia" w:ascii="微软雅黑" w:hAnsi="微软雅黑" w:eastAsia="微软雅黑" w:cs="微软雅黑"/>
          <w:b/>
          <w:bCs/>
          <w:kern w:val="0"/>
          <w:szCs w:val="21"/>
          <w:shd w:val="clear" w:color="auto" w:fill="FFFFFF"/>
        </w:rPr>
        <w:t>年</w:t>
      </w:r>
      <w:r>
        <w:rPr>
          <w:rFonts w:ascii="微软雅黑" w:hAnsi="微软雅黑" w:eastAsia="微软雅黑" w:cs="微软雅黑"/>
          <w:b/>
          <w:bCs/>
          <w:kern w:val="0"/>
          <w:szCs w:val="21"/>
          <w:shd w:val="clear" w:color="auto" w:fill="FFFFFF"/>
        </w:rPr>
        <w:t>，</w:t>
      </w:r>
      <w:r>
        <w:rPr>
          <w:rFonts w:hint="eastAsia" w:ascii="微软雅黑" w:hAnsi="微软雅黑" w:eastAsia="微软雅黑" w:cs="微软雅黑"/>
          <w:b/>
          <w:bCs/>
          <w:kern w:val="0"/>
          <w:szCs w:val="21"/>
          <w:shd w:val="clear" w:color="auto" w:fill="FFFFFF"/>
        </w:rPr>
        <w:t>该方向班面向湖南财政经济学院202</w:t>
      </w:r>
      <w:r>
        <w:rPr>
          <w:rFonts w:ascii="微软雅黑" w:hAnsi="微软雅黑" w:eastAsia="微软雅黑" w:cs="微软雅黑"/>
          <w:b/>
          <w:bCs/>
          <w:kern w:val="0"/>
          <w:szCs w:val="21"/>
          <w:shd w:val="clear" w:color="auto" w:fill="FFFFFF"/>
        </w:rPr>
        <w:t>2</w:t>
      </w:r>
      <w:r>
        <w:rPr>
          <w:rFonts w:hint="eastAsia" w:ascii="微软雅黑" w:hAnsi="微软雅黑" w:eastAsia="微软雅黑" w:cs="微软雅黑"/>
          <w:b/>
          <w:bCs/>
          <w:kern w:val="0"/>
          <w:szCs w:val="21"/>
          <w:shd w:val="clear" w:color="auto" w:fill="FFFFFF"/>
        </w:rPr>
        <w:t>级所有统招本科新生(厚生国际教育学院中外合作生除外)在新生报到入学时进行二次选拔，经面试或笔试等环节，择优录取，计划招生</w:t>
      </w:r>
      <w:r>
        <w:rPr>
          <w:rFonts w:ascii="微软雅黑" w:hAnsi="微软雅黑" w:eastAsia="微软雅黑" w:cs="微软雅黑"/>
          <w:b/>
          <w:bCs/>
          <w:color w:val="FF0000"/>
          <w:kern w:val="0"/>
          <w:szCs w:val="21"/>
          <w:shd w:val="clear" w:color="auto" w:fill="FFFFFF"/>
        </w:rPr>
        <w:t>90</w:t>
      </w:r>
      <w:r>
        <w:rPr>
          <w:rFonts w:hint="eastAsia" w:ascii="微软雅黑" w:hAnsi="微软雅黑" w:eastAsia="微软雅黑" w:cs="微软雅黑"/>
          <w:b/>
          <w:bCs/>
          <w:kern w:val="0"/>
          <w:szCs w:val="21"/>
          <w:shd w:val="clear" w:color="auto" w:fill="FFFFFF"/>
        </w:rPr>
        <w:t>名。非财政金融学院统招生被该方向班录取后，可由非金融学专业转为金融学专业，</w:t>
      </w:r>
      <w:r>
        <w:rPr>
          <w:rFonts w:hint="eastAsia" w:ascii="微软雅黑" w:hAnsi="微软雅黑" w:eastAsia="微软雅黑" w:cs="微软雅黑"/>
          <w:kern w:val="0"/>
          <w:szCs w:val="21"/>
          <w:shd w:val="clear" w:color="auto" w:fill="FFFFFF"/>
        </w:rPr>
        <w:t>按财政金融学院金融学专业(CFA</w:t>
      </w:r>
      <w:r>
        <w:rPr>
          <w:rFonts w:hint="eastAsia" w:ascii="微软雅黑" w:hAnsi="微软雅黑" w:eastAsia="微软雅黑" w:cs="微软雅黑"/>
          <w:kern w:val="0"/>
          <w:szCs w:val="21"/>
          <w:shd w:val="clear" w:color="auto" w:fill="FFFFFF"/>
          <w:vertAlign w:val="superscript"/>
        </w:rPr>
        <w:t>®</w:t>
      </w:r>
      <w:r>
        <w:rPr>
          <w:rFonts w:hint="eastAsia" w:ascii="微软雅黑" w:hAnsi="微软雅黑" w:eastAsia="微软雅黑" w:cs="微软雅黑"/>
          <w:kern w:val="0"/>
          <w:szCs w:val="21"/>
          <w:shd w:val="clear" w:color="auto" w:fill="FFFFFF"/>
        </w:rPr>
        <w:t>&amp;FRM</w:t>
      </w:r>
      <w:r>
        <w:rPr>
          <w:rFonts w:hint="eastAsia" w:ascii="微软雅黑" w:hAnsi="微软雅黑" w:eastAsia="微软雅黑" w:cs="微软雅黑"/>
          <w:kern w:val="0"/>
          <w:szCs w:val="21"/>
          <w:shd w:val="clear" w:color="auto" w:fill="FFFFFF"/>
          <w:vertAlign w:val="superscript"/>
        </w:rPr>
        <w:t>®</w:t>
      </w:r>
      <w:r>
        <w:rPr>
          <w:rFonts w:hint="eastAsia" w:ascii="微软雅黑" w:hAnsi="微软雅黑" w:eastAsia="微软雅黑" w:cs="微软雅黑"/>
          <w:kern w:val="0"/>
          <w:szCs w:val="21"/>
          <w:shd w:val="clear" w:color="auto" w:fill="FFFFFF"/>
        </w:rPr>
        <w:t>方向)人才培养方案进行培养，CFA</w:t>
      </w:r>
      <w:r>
        <w:rPr>
          <w:rFonts w:hint="eastAsia" w:ascii="微软雅黑" w:hAnsi="微软雅黑" w:eastAsia="微软雅黑" w:cs="微软雅黑"/>
          <w:kern w:val="0"/>
          <w:szCs w:val="21"/>
          <w:shd w:val="clear" w:color="auto" w:fill="FFFFFF"/>
          <w:vertAlign w:val="superscript"/>
        </w:rPr>
        <w:t>®</w:t>
      </w:r>
      <w:r>
        <w:rPr>
          <w:rFonts w:hint="eastAsia" w:ascii="微软雅黑" w:hAnsi="微软雅黑" w:eastAsia="微软雅黑" w:cs="微软雅黑"/>
          <w:kern w:val="0"/>
          <w:szCs w:val="21"/>
          <w:shd w:val="clear" w:color="auto" w:fill="FFFFFF"/>
        </w:rPr>
        <w:t>&amp;FRM</w:t>
      </w:r>
      <w:r>
        <w:rPr>
          <w:rFonts w:hint="eastAsia" w:ascii="微软雅黑" w:hAnsi="微软雅黑" w:eastAsia="微软雅黑" w:cs="微软雅黑"/>
          <w:kern w:val="0"/>
          <w:szCs w:val="21"/>
          <w:shd w:val="clear" w:color="auto" w:fill="FFFFFF"/>
          <w:vertAlign w:val="superscript"/>
        </w:rPr>
        <w:t>®</w:t>
      </w:r>
      <w:r>
        <w:rPr>
          <w:rFonts w:hint="eastAsia" w:ascii="微软雅黑" w:hAnsi="微软雅黑" w:eastAsia="微软雅黑" w:cs="微软雅黑"/>
          <w:kern w:val="0"/>
          <w:szCs w:val="21"/>
          <w:shd w:val="clear" w:color="auto" w:fill="FFFFFF"/>
        </w:rPr>
        <w:t>课程采用中英文双语教学。该方向班毕业条件和学位授予条件同湖南财政经济学院其他统招生。</w:t>
      </w:r>
    </w:p>
    <w:p>
      <w:pPr>
        <w:keepNext w:val="0"/>
        <w:keepLines w:val="0"/>
        <w:pageBreakBefore w:val="0"/>
        <w:kinsoku/>
        <w:wordWrap/>
        <w:overflowPunct/>
        <w:topLinePunct w:val="0"/>
        <w:bidi w:val="0"/>
        <w:adjustRightInd/>
        <w:snapToGrid/>
        <w:spacing w:line="520" w:lineRule="exact"/>
        <w:ind w:firstLine="472" w:firstLineChars="20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二、CFA®&amp;FRM®证书介绍</w:t>
      </w:r>
    </w:p>
    <w:p>
      <w:pPr>
        <w:pStyle w:val="6"/>
        <w:keepNext w:val="0"/>
        <w:keepLines w:val="0"/>
        <w:pageBreakBefore w:val="0"/>
        <w:widowControl/>
        <w:kinsoku/>
        <w:wordWrap/>
        <w:overflowPunct/>
        <w:topLinePunct w:val="0"/>
        <w:bidi w:val="0"/>
        <w:adjustRightInd/>
        <w:snapToGrid/>
        <w:spacing w:beforeAutospacing="0" w:afterAutospacing="0" w:line="520" w:lineRule="exact"/>
        <w:ind w:firstLine="465"/>
        <w:jc w:val="both"/>
        <w:textAlignment w:val="auto"/>
        <w:rPr>
          <w:rFonts w:ascii="微软雅黑" w:hAnsi="微软雅黑" w:eastAsia="微软雅黑" w:cs="微软雅黑"/>
          <w:sz w:val="21"/>
          <w:szCs w:val="21"/>
        </w:rPr>
      </w:pPr>
      <w:r>
        <w:rPr>
          <w:rStyle w:val="9"/>
          <w:rFonts w:hint="eastAsia" w:ascii="微软雅黑" w:hAnsi="微软雅黑" w:eastAsia="微软雅黑" w:cs="微软雅黑"/>
          <w:sz w:val="21"/>
          <w:szCs w:val="21"/>
          <w:shd w:val="clear" w:color="auto" w:fill="FFFFFF"/>
        </w:rPr>
        <w:t>(一) CFA®，全称 Chartered Financial Analyst (特许金融分析师)</w:t>
      </w:r>
      <w:r>
        <w:rPr>
          <w:rFonts w:hint="eastAsia" w:ascii="微软雅黑" w:hAnsi="微软雅黑" w:eastAsia="微软雅黑" w:cs="微软雅黑"/>
          <w:sz w:val="21"/>
          <w:szCs w:val="21"/>
          <w:shd w:val="clear" w:color="auto" w:fill="FFFFFF"/>
        </w:rPr>
        <w:t>，作为投资界里的公认职业资格认证， CFA®证书被各国金融机构广泛认可，它是金融从业人员重要的“身份证”，各大金融公司雇主都将CFA®证书视为选拔人才的专业标准。自1962年设立</w:t>
      </w:r>
      <w:r>
        <w:rPr>
          <w:rFonts w:ascii="微软雅黑" w:hAnsi="微软雅黑" w:eastAsia="微软雅黑" w:cs="微软雅黑"/>
          <w:sz w:val="21"/>
          <w:szCs w:val="21"/>
          <w:shd w:val="clear" w:color="auto" w:fill="FFFFFF"/>
        </w:rPr>
        <w:t>CFA</w:t>
      </w:r>
      <w:r>
        <w:rPr>
          <w:rFonts w:hint="eastAsia" w:ascii="微软雅黑" w:hAnsi="微软雅黑" w:eastAsia="微软雅黑" w:cs="微软雅黑"/>
          <w:sz w:val="21"/>
          <w:szCs w:val="21"/>
          <w:shd w:val="clear" w:color="auto" w:fill="FFFFFF"/>
        </w:rPr>
        <w:t>课程以来，对投资知识、准则及道德设立了全球性的标准，被广泛认知与认可。CFA®持证人可在各大投资公司、各类基金公司、投资银行和大型银行、证券公司、咨询公司、各类会计师事务所、保险公司及各类大型企业等单位就职。</w:t>
      </w:r>
    </w:p>
    <w:p>
      <w:pPr>
        <w:pStyle w:val="6"/>
        <w:keepNext w:val="0"/>
        <w:keepLines w:val="0"/>
        <w:pageBreakBefore w:val="0"/>
        <w:widowControl/>
        <w:kinsoku/>
        <w:wordWrap/>
        <w:overflowPunct/>
        <w:topLinePunct w:val="0"/>
        <w:bidi w:val="0"/>
        <w:adjustRightInd/>
        <w:snapToGrid/>
        <w:spacing w:beforeAutospacing="0" w:afterAutospacing="0" w:line="520" w:lineRule="exact"/>
        <w:ind w:firstLine="465"/>
        <w:jc w:val="both"/>
        <w:textAlignment w:val="auto"/>
        <w:rPr>
          <w:rFonts w:ascii="微软雅黑" w:hAnsi="微软雅黑" w:eastAsia="微软雅黑" w:cs="微软雅黑"/>
          <w:sz w:val="21"/>
          <w:szCs w:val="21"/>
          <w:shd w:val="clear" w:color="auto" w:fill="FFFFFF"/>
        </w:rPr>
      </w:pPr>
      <w:r>
        <w:rPr>
          <w:rStyle w:val="9"/>
          <w:rFonts w:hint="eastAsia" w:ascii="微软雅黑" w:hAnsi="微软雅黑" w:eastAsia="微软雅黑" w:cs="微软雅黑"/>
          <w:sz w:val="21"/>
          <w:szCs w:val="21"/>
          <w:shd w:val="clear" w:color="auto" w:fill="FFFFFF"/>
        </w:rPr>
        <w:t xml:space="preserve">(二) </w:t>
      </w:r>
      <w:r>
        <w:rPr>
          <w:rStyle w:val="9"/>
          <w:rFonts w:ascii="微软雅黑" w:hAnsi="微软雅黑" w:eastAsia="微软雅黑" w:cs="微软雅黑"/>
          <w:sz w:val="21"/>
          <w:szCs w:val="21"/>
          <w:shd w:val="clear" w:color="auto" w:fill="FFFFFF"/>
        </w:rPr>
        <w:t>FRM</w:t>
      </w:r>
      <w:r>
        <w:rPr>
          <w:rStyle w:val="9"/>
          <w:rFonts w:hint="eastAsia" w:ascii="微软雅黑" w:hAnsi="微软雅黑" w:eastAsia="微软雅黑" w:cs="微软雅黑"/>
          <w:sz w:val="21"/>
          <w:szCs w:val="21"/>
          <w:shd w:val="clear" w:color="auto" w:fill="FFFFFF"/>
        </w:rPr>
        <w:t>®，全称Financial Risk Manager (金融风险管理师)</w:t>
      </w:r>
      <w:r>
        <w:rPr>
          <w:rFonts w:hint="eastAsia" w:ascii="微软雅黑" w:hAnsi="微软雅黑" w:eastAsia="微软雅黑" w:cs="微软雅黑"/>
          <w:sz w:val="21"/>
          <w:szCs w:val="21"/>
          <w:shd w:val="clear" w:color="auto" w:fill="FFFFFF"/>
        </w:rPr>
        <w:t>，是金融风险管理领域的一种资格认证证书，由美国“全球风险协会”（GARP）设立。风险管理涵盖众多领域，包括风险管理概论、数量分析、金融市场与金融产品、定价与风险模型、市场风险测度与管理、信用风险测度与管理、操作风险测度与管理、基金投资风险、会计、法律等众多内容。而风险管理这一攸关企业组织及其投资人命运的重要决策，需要众多的专业人士参与，FRM®已成为全球瞩目的国际风险管理证照。在国内，FRM®正日益受到国家金融监管机构以及各家金融机构的重视，因此，对金融专业人员的需求日益壮大。</w:t>
      </w:r>
    </w:p>
    <w:p>
      <w:pPr>
        <w:keepNext w:val="0"/>
        <w:keepLines w:val="0"/>
        <w:pageBreakBefore w:val="0"/>
        <w:kinsoku/>
        <w:wordWrap/>
        <w:overflowPunct/>
        <w:topLinePunct w:val="0"/>
        <w:bidi w:val="0"/>
        <w:adjustRightInd/>
        <w:snapToGrid/>
        <w:spacing w:line="520" w:lineRule="exact"/>
        <w:ind w:firstLine="472" w:firstLineChars="20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三、CFA®&amp;FRM®持证人的优势</w:t>
      </w:r>
    </w:p>
    <w:p>
      <w:pPr>
        <w:keepNext w:val="0"/>
        <w:keepLines w:val="0"/>
        <w:pageBreakBefore w:val="0"/>
        <w:kinsoku/>
        <w:wordWrap/>
        <w:overflowPunct/>
        <w:topLinePunct w:val="0"/>
        <w:bidi w:val="0"/>
        <w:adjustRightInd/>
        <w:snapToGrid/>
        <w:spacing w:line="520" w:lineRule="exact"/>
        <w:ind w:firstLine="425" w:firstLineChars="18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(一) 持证人享有的政策优惠</w:t>
      </w:r>
    </w:p>
    <w:p>
      <w:pPr>
        <w:pStyle w:val="3"/>
        <w:keepNext w:val="0"/>
        <w:keepLines w:val="0"/>
        <w:pageBreakBefore w:val="0"/>
        <w:kinsoku/>
        <w:wordWrap/>
        <w:overflowPunct/>
        <w:topLinePunct w:val="0"/>
        <w:autoSpaceDE w:val="0"/>
        <w:autoSpaceDN w:val="0"/>
        <w:bidi w:val="0"/>
        <w:adjustRightInd/>
        <w:snapToGrid/>
        <w:spacing w:before="0" w:line="520" w:lineRule="exact"/>
        <w:ind w:left="0" w:right="142" w:firstLine="420" w:firstLineChars="200"/>
        <w:textAlignment w:val="auto"/>
        <w:rPr>
          <w:rFonts w:hint="eastAsia"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国内大部分城市都将CFA和FRM持证人列为重点引入的金融高端人才，并给予特别的优惠条件，例如：</w:t>
      </w:r>
    </w:p>
    <w:p>
      <w:pPr>
        <w:pStyle w:val="3"/>
        <w:keepNext w:val="0"/>
        <w:keepLines w:val="0"/>
        <w:pageBreakBefore w:val="0"/>
        <w:kinsoku/>
        <w:wordWrap/>
        <w:overflowPunct/>
        <w:topLinePunct w:val="0"/>
        <w:autoSpaceDE w:val="0"/>
        <w:autoSpaceDN w:val="0"/>
        <w:bidi w:val="0"/>
        <w:adjustRightInd/>
        <w:snapToGrid/>
        <w:spacing w:before="0" w:line="520" w:lineRule="exact"/>
        <w:ind w:left="0" w:right="142" w:firstLine="420" w:firstLineChars="200"/>
        <w:textAlignment w:val="auto"/>
        <w:rPr>
          <w:rFonts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北京：子女在京高考、个税补贴、户籍加分；</w:t>
      </w:r>
    </w:p>
    <w:p>
      <w:pPr>
        <w:pStyle w:val="3"/>
        <w:keepNext w:val="0"/>
        <w:keepLines w:val="0"/>
        <w:pageBreakBefore w:val="0"/>
        <w:kinsoku/>
        <w:wordWrap/>
        <w:overflowPunct/>
        <w:topLinePunct w:val="0"/>
        <w:autoSpaceDE w:val="0"/>
        <w:autoSpaceDN w:val="0"/>
        <w:bidi w:val="0"/>
        <w:adjustRightInd/>
        <w:snapToGrid/>
        <w:spacing w:before="0" w:line="520" w:lineRule="exact"/>
        <w:ind w:leftChars="57" w:right="142" w:firstLine="315" w:firstLineChars="150"/>
        <w:textAlignment w:val="auto"/>
        <w:rPr>
          <w:rFonts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上海：金融领域“十二五”发展培养人才、个税退税补贴、落户加分；</w:t>
      </w:r>
    </w:p>
    <w:p>
      <w:pPr>
        <w:pStyle w:val="3"/>
        <w:keepNext w:val="0"/>
        <w:keepLines w:val="0"/>
        <w:pageBreakBefore w:val="0"/>
        <w:kinsoku/>
        <w:wordWrap/>
        <w:overflowPunct/>
        <w:topLinePunct w:val="0"/>
        <w:autoSpaceDE w:val="0"/>
        <w:autoSpaceDN w:val="0"/>
        <w:bidi w:val="0"/>
        <w:adjustRightInd/>
        <w:snapToGrid/>
        <w:spacing w:before="0" w:line="520" w:lineRule="exact"/>
        <w:ind w:leftChars="57" w:right="142" w:firstLine="315" w:firstLineChars="150"/>
        <w:textAlignment w:val="auto"/>
        <w:rPr>
          <w:rFonts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广州：引进高级金融专才，最高奖励30万元；</w:t>
      </w:r>
    </w:p>
    <w:p>
      <w:pPr>
        <w:pStyle w:val="3"/>
        <w:keepNext w:val="0"/>
        <w:keepLines w:val="0"/>
        <w:pageBreakBefore w:val="0"/>
        <w:kinsoku/>
        <w:wordWrap/>
        <w:overflowPunct/>
        <w:topLinePunct w:val="0"/>
        <w:autoSpaceDE w:val="0"/>
        <w:autoSpaceDN w:val="0"/>
        <w:bidi w:val="0"/>
        <w:adjustRightInd/>
        <w:snapToGrid/>
        <w:spacing w:before="0" w:line="520" w:lineRule="exact"/>
        <w:ind w:leftChars="57" w:right="142" w:firstLine="315" w:firstLineChars="150"/>
        <w:textAlignment w:val="auto"/>
        <w:rPr>
          <w:rFonts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深圳：办理“鸿儒卡”、后备级金融人才可享受80万补贴;</w:t>
      </w:r>
    </w:p>
    <w:p>
      <w:pPr>
        <w:pStyle w:val="3"/>
        <w:keepNext w:val="0"/>
        <w:keepLines w:val="0"/>
        <w:pageBreakBefore w:val="0"/>
        <w:kinsoku/>
        <w:wordWrap/>
        <w:overflowPunct/>
        <w:topLinePunct w:val="0"/>
        <w:autoSpaceDE w:val="0"/>
        <w:autoSpaceDN w:val="0"/>
        <w:bidi w:val="0"/>
        <w:adjustRightInd/>
        <w:snapToGrid/>
        <w:spacing w:before="0" w:line="520" w:lineRule="exact"/>
        <w:ind w:leftChars="57" w:right="142" w:firstLine="315" w:firstLineChars="150"/>
        <w:textAlignment w:val="auto"/>
        <w:rPr>
          <w:rFonts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其他如成都、珠海、厦门、南京、宁波等城市均有相应政策优惠。</w:t>
      </w:r>
    </w:p>
    <w:p>
      <w:pPr>
        <w:pStyle w:val="2"/>
        <w:keepNext w:val="0"/>
        <w:keepLines w:val="0"/>
        <w:pageBreakBefore w:val="0"/>
        <w:kinsoku/>
        <w:wordWrap/>
        <w:overflowPunct/>
        <w:topLinePunct w:val="0"/>
        <w:autoSpaceDE w:val="0"/>
        <w:autoSpaceDN w:val="0"/>
        <w:bidi w:val="0"/>
        <w:adjustRightInd/>
        <w:snapToGrid/>
        <w:spacing w:beforeAutospacing="0" w:afterAutospacing="0" w:line="520" w:lineRule="exact"/>
        <w:ind w:firstLine="412" w:firstLineChars="196"/>
        <w:jc w:val="both"/>
        <w:textAlignment w:val="auto"/>
        <w:rPr>
          <w:rStyle w:val="9"/>
          <w:rFonts w:ascii="微软雅黑" w:hAnsi="微软雅黑" w:eastAsia="微软雅黑" w:cs="微软雅黑"/>
          <w:b/>
          <w:kern w:val="0"/>
          <w:sz w:val="21"/>
          <w:szCs w:val="21"/>
          <w:shd w:val="clear" w:color="auto" w:fill="FFFFFF"/>
        </w:rPr>
      </w:pPr>
      <w:r>
        <w:rPr>
          <w:rStyle w:val="9"/>
          <w:rFonts w:hint="eastAsia" w:ascii="微软雅黑" w:hAnsi="微软雅黑" w:eastAsia="微软雅黑" w:cs="微软雅黑"/>
          <w:b/>
          <w:kern w:val="0"/>
          <w:sz w:val="21"/>
          <w:szCs w:val="21"/>
          <w:shd w:val="clear" w:color="auto" w:fill="FFFFFF"/>
        </w:rPr>
        <w:t>(二) 认可CFA®&amp;FRM®持证人的单位</w:t>
      </w:r>
    </w:p>
    <w:p>
      <w:pPr>
        <w:pStyle w:val="3"/>
        <w:keepNext w:val="0"/>
        <w:keepLines w:val="0"/>
        <w:pageBreakBefore w:val="0"/>
        <w:kinsoku/>
        <w:wordWrap/>
        <w:overflowPunct/>
        <w:topLinePunct w:val="0"/>
        <w:autoSpaceDE w:val="0"/>
        <w:autoSpaceDN w:val="0"/>
        <w:bidi w:val="0"/>
        <w:adjustRightInd/>
        <w:snapToGrid/>
        <w:spacing w:before="0" w:line="520" w:lineRule="exact"/>
        <w:ind w:left="0" w:right="142" w:firstLine="420" w:firstLineChars="200"/>
        <w:textAlignment w:val="auto"/>
        <w:rPr>
          <w:rFonts w:ascii="微软雅黑" w:hAnsi="微软雅黑" w:eastAsia="微软雅黑" w:cs="微软雅黑"/>
          <w:kern w:val="0"/>
          <w:sz w:val="21"/>
          <w:szCs w:val="21"/>
          <w:shd w:val="clear" w:color="auto" w:fill="FFFFFF"/>
        </w:rPr>
      </w:pPr>
      <w:r>
        <w:rPr>
          <w:rFonts w:hint="eastAsia" w:ascii="微软雅黑" w:hAnsi="微软雅黑" w:eastAsia="微软雅黑" w:cs="微软雅黑"/>
          <w:kern w:val="0"/>
          <w:sz w:val="21"/>
          <w:szCs w:val="21"/>
          <w:shd w:val="clear" w:color="auto" w:fill="FFFFFF"/>
        </w:rPr>
        <w:t>CFA和FRM持证人被国内外大型的著名金融机构或公司所重视和认可，在考研和考公上也具有极大的竞争优势，例如：普华永道、汇丰银行、法国巴黎银行、瑞银集团、毕马威会计师事务所、德勤会计师事务所、安永会计师事务所、普华永道会计师事务所、中国银行、中国工商银行、中国国际金融有限公司、中国中信、中国平安保险、招商局集团、国泰君安证券股份有限公司等国内外著名企业都高度重视和认可CFA®&amp;FRM®持证人。</w:t>
      </w:r>
    </w:p>
    <w:p>
      <w:pPr>
        <w:keepNext w:val="0"/>
        <w:keepLines w:val="0"/>
        <w:pageBreakBefore w:val="0"/>
        <w:kinsoku/>
        <w:wordWrap/>
        <w:overflowPunct/>
        <w:topLinePunct w:val="0"/>
        <w:bidi w:val="0"/>
        <w:adjustRightInd/>
        <w:snapToGrid/>
        <w:spacing w:line="520" w:lineRule="exact"/>
        <w:ind w:firstLine="472" w:firstLineChars="20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四、金融学专业(CFA®&amp;FRM®方向班)的优势</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（一）符合学校毕业条件的，将获得湖南财政经济学院金融学本科毕业证书；符合学校学位授予条件的，将获得经济学学士学位证书。</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（二）通过CFA®三级考试合格者，符合申请条件获得CFA®资格证书；通过FRM®两个等级考试合格者，符合申请条件获得FRM®资格证书。</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（三）CFA®课程及FRM®课程由金融领域具有丰富实务经验的CFA®&amp;FRM®持证精英讲师授课。</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 xml:space="preserve">（四）国际化金融教育课程，与国际金融实务同步的知识体系，高品质教学效果。 </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（五）国内外众多知名证券、基金、保险、银行、大型企业的高端职位机会。 </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（六）中英文双语教学，拥有国际化金融知识，娴熟的金融英语听说读写技能。</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（七）实行有区别于其他专业统招生的较严格管理。</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ascii="微软雅黑" w:hAnsi="微软雅黑" w:eastAsia="微软雅黑" w:cs="微软雅黑"/>
          <w:color w:val="000000" w:themeColor="text1"/>
          <w:sz w:val="21"/>
          <w:szCs w:val="21"/>
          <w:shd w:val="clear" w:color="auto" w:fill="FFFFFF"/>
          <w14:textFill>
            <w14:solidFill>
              <w14:schemeClr w14:val="tx1"/>
            </w14:solidFill>
          </w14:textFill>
        </w:rPr>
        <w:t>（</w:t>
      </w: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八</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特设专项奖学金</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525" w:firstLineChars="250"/>
        <w:jc w:val="both"/>
        <w:textAlignment w:val="auto"/>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FRM®一级四门课全球统考均为1档：1500元奖学金（税前）</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 xml:space="preserve">  </w:t>
      </w:r>
      <w:r>
        <w:rPr>
          <w:rFonts w:ascii="微软雅黑" w:hAnsi="微软雅黑" w:eastAsia="微软雅黑" w:cs="微软雅黑"/>
          <w:color w:val="000000" w:themeColor="text1"/>
          <w:sz w:val="21"/>
          <w:szCs w:val="21"/>
          <w:shd w:val="clear" w:color="auto" w:fill="FFFFFF"/>
          <w14:textFill>
            <w14:solidFill>
              <w14:schemeClr w14:val="tx1"/>
            </w14:solidFill>
          </w14:textFill>
        </w:rPr>
        <w:t xml:space="preserve">   </w:t>
      </w: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FRM®二级六门课全球统考均为1档：2500元奖学金（税前）</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color w:val="000000" w:themeColor="text1"/>
          <w:sz w:val="21"/>
          <w:szCs w:val="21"/>
          <w:shd w:val="clear" w:color="auto" w:fill="FFFFFF"/>
          <w14:textFill>
            <w14:solidFill>
              <w14:schemeClr w14:val="tx1"/>
            </w14:solidFill>
          </w14:textFill>
        </w:rPr>
      </w:pP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 xml:space="preserve">     CFA®全球统考十门课均为A档或者总成绩全球排名前10%：3000元奖学金（税前）</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p>
    <w:p>
      <w:pPr>
        <w:keepNext w:val="0"/>
        <w:keepLines w:val="0"/>
        <w:pageBreakBefore w:val="0"/>
        <w:kinsoku/>
        <w:wordWrap/>
        <w:overflowPunct/>
        <w:topLinePunct w:val="0"/>
        <w:bidi w:val="0"/>
        <w:adjustRightInd/>
        <w:snapToGrid/>
        <w:spacing w:line="520" w:lineRule="exact"/>
        <w:ind w:firstLine="472" w:firstLineChars="20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五、金融学CFA®&amp;FRM®方向班报名须知</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20" w:firstLineChars="200"/>
        <w:jc w:val="both"/>
        <w:textAlignment w:val="auto"/>
        <w:rPr>
          <w:rFonts w:ascii="微软雅黑" w:hAnsi="微软雅黑" w:eastAsia="微软雅黑" w:cs="微软雅黑"/>
          <w:sz w:val="21"/>
          <w:szCs w:val="21"/>
        </w:rPr>
      </w:pPr>
      <w:r>
        <w:rPr>
          <w:rStyle w:val="9"/>
          <w:rFonts w:hint="eastAsia" w:ascii="微软雅黑" w:hAnsi="微软雅黑" w:eastAsia="微软雅黑" w:cs="微软雅黑"/>
          <w:sz w:val="21"/>
          <w:szCs w:val="21"/>
          <w:shd w:val="clear" w:color="auto" w:fill="FFFFFF"/>
        </w:rPr>
        <w:t>(一) 报名条件</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20" w:firstLineChars="200"/>
        <w:jc w:val="both"/>
        <w:textAlignment w:val="auto"/>
        <w:rPr>
          <w:rFonts w:ascii="微软雅黑" w:hAnsi="微软雅黑" w:eastAsia="微软雅黑" w:cs="微软雅黑"/>
          <w:b/>
          <w:bCs/>
          <w:sz w:val="21"/>
          <w:szCs w:val="21"/>
          <w:shd w:val="clear" w:color="auto" w:fill="FFFFFF"/>
        </w:rPr>
      </w:pPr>
      <w:r>
        <w:rPr>
          <w:rFonts w:hint="eastAsia" w:ascii="微软雅黑" w:hAnsi="微软雅黑" w:eastAsia="微软雅黑" w:cs="微软雅黑"/>
          <w:b/>
          <w:bCs/>
          <w:sz w:val="21"/>
          <w:szCs w:val="21"/>
          <w:shd w:val="clear" w:color="auto" w:fill="FFFFFF"/>
        </w:rPr>
        <w:t>已被录取为湖南财政经济学院202</w:t>
      </w:r>
      <w:r>
        <w:rPr>
          <w:rFonts w:ascii="微软雅黑" w:hAnsi="微软雅黑" w:eastAsia="微软雅黑" w:cs="微软雅黑"/>
          <w:b/>
          <w:bCs/>
          <w:sz w:val="21"/>
          <w:szCs w:val="21"/>
          <w:shd w:val="clear" w:color="auto" w:fill="FFFFFF"/>
        </w:rPr>
        <w:t>2</w:t>
      </w:r>
      <w:r>
        <w:rPr>
          <w:rFonts w:hint="eastAsia" w:ascii="微软雅黑" w:hAnsi="微软雅黑" w:eastAsia="微软雅黑" w:cs="微软雅黑"/>
          <w:b/>
          <w:bCs/>
          <w:sz w:val="21"/>
          <w:szCs w:val="21"/>
          <w:shd w:val="clear" w:color="auto" w:fill="FFFFFF"/>
        </w:rPr>
        <w:t>级统招本科新生（厚生国际教育学院中外合作生除外），符合下列条件，且愿意就读金融学专业(CFA®&amp;FRM®）方向班的，均可报名。</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22" w:firstLineChars="201"/>
        <w:jc w:val="both"/>
        <w:textAlignment w:val="auto"/>
        <w:rPr>
          <w:rFonts w:ascii="微软雅黑" w:hAnsi="微软雅黑" w:eastAsia="微软雅黑" w:cs="微软雅黑"/>
          <w:color w:val="FF0000"/>
          <w:sz w:val="21"/>
          <w:szCs w:val="21"/>
          <w:shd w:val="clear" w:color="auto" w:fill="FFFFFF"/>
        </w:rPr>
      </w:pPr>
      <w:r>
        <w:rPr>
          <w:rFonts w:hint="eastAsia" w:ascii="微软雅黑" w:hAnsi="微软雅黑" w:eastAsia="微软雅黑" w:cs="微软雅黑"/>
          <w:color w:val="FF0000"/>
          <w:sz w:val="21"/>
          <w:szCs w:val="21"/>
          <w:shd w:val="clear" w:color="auto" w:fill="FFFFFF"/>
        </w:rPr>
        <w:t>1．150分制下，高考英语成绩在9</w:t>
      </w:r>
      <w:r>
        <w:rPr>
          <w:rFonts w:ascii="微软雅黑" w:hAnsi="微软雅黑" w:eastAsia="微软雅黑" w:cs="微软雅黑"/>
          <w:color w:val="FF0000"/>
          <w:sz w:val="21"/>
          <w:szCs w:val="21"/>
          <w:shd w:val="clear" w:color="auto" w:fill="FFFFFF"/>
        </w:rPr>
        <w:t>0</w:t>
      </w:r>
      <w:r>
        <w:rPr>
          <w:rFonts w:hint="eastAsia" w:ascii="微软雅黑" w:hAnsi="微软雅黑" w:eastAsia="微软雅黑" w:cs="微软雅黑"/>
          <w:color w:val="FF0000"/>
          <w:sz w:val="21"/>
          <w:szCs w:val="21"/>
          <w:shd w:val="clear" w:color="auto" w:fill="FFFFFF"/>
        </w:rPr>
        <w:t>分及以上；</w:t>
      </w:r>
    </w:p>
    <w:p>
      <w:pPr>
        <w:pStyle w:val="6"/>
        <w:keepNext w:val="0"/>
        <w:keepLines w:val="0"/>
        <w:pageBreakBefore w:val="0"/>
        <w:widowControl/>
        <w:numPr>
          <w:ilvl w:val="0"/>
          <w:numId w:val="2"/>
        </w:numPr>
        <w:shd w:val="clear" w:color="auto" w:fill="FFFFFF"/>
        <w:kinsoku/>
        <w:wordWrap/>
        <w:overflowPunct/>
        <w:topLinePunct w:val="0"/>
        <w:bidi w:val="0"/>
        <w:adjustRightInd/>
        <w:snapToGrid/>
        <w:spacing w:beforeAutospacing="0" w:afterAutospacing="0" w:line="520" w:lineRule="exact"/>
        <w:ind w:firstLine="422" w:firstLineChars="201"/>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具有强烈的学习意愿和吃苦耐劳的毅力；</w:t>
      </w:r>
    </w:p>
    <w:p>
      <w:pPr>
        <w:pStyle w:val="6"/>
        <w:keepNext w:val="0"/>
        <w:keepLines w:val="0"/>
        <w:pageBreakBefore w:val="0"/>
        <w:widowControl/>
        <w:numPr>
          <w:ilvl w:val="0"/>
          <w:numId w:val="2"/>
        </w:numPr>
        <w:shd w:val="clear" w:color="auto" w:fill="FFFFFF"/>
        <w:kinsoku/>
        <w:wordWrap/>
        <w:overflowPunct/>
        <w:topLinePunct w:val="0"/>
        <w:bidi w:val="0"/>
        <w:adjustRightInd/>
        <w:snapToGrid/>
        <w:spacing w:beforeAutospacing="0" w:afterAutospacing="0" w:line="520" w:lineRule="exact"/>
        <w:ind w:firstLine="422" w:firstLineChars="201"/>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家庭经济良好。</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12" w:firstLineChars="196"/>
        <w:jc w:val="both"/>
        <w:textAlignment w:val="auto"/>
        <w:rPr>
          <w:rFonts w:ascii="微软雅黑" w:hAnsi="微软雅黑" w:eastAsia="微软雅黑" w:cs="微软雅黑"/>
          <w:sz w:val="21"/>
          <w:szCs w:val="21"/>
        </w:rPr>
      </w:pPr>
      <w:r>
        <w:rPr>
          <w:rStyle w:val="9"/>
          <w:rFonts w:hint="eastAsia" w:ascii="微软雅黑" w:hAnsi="微软雅黑" w:eastAsia="微软雅黑" w:cs="微软雅黑"/>
          <w:sz w:val="21"/>
          <w:szCs w:val="21"/>
          <w:shd w:val="clear" w:color="auto" w:fill="FFFFFF"/>
        </w:rPr>
        <w:t>(二) 选拔程序</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sz w:val="21"/>
          <w:szCs w:val="21"/>
          <w:shd w:val="clear" w:color="auto" w:fill="FFFFFF"/>
        </w:rPr>
        <w:t>1．报名：拿到录取通知书后符合条件且愿意参加金融学CFA®&amp;FRM®方向班的学生需在报到</w:t>
      </w:r>
      <w:r>
        <w:rPr>
          <w:rFonts w:hint="eastAsia" w:ascii="微软雅黑" w:hAnsi="微软雅黑" w:eastAsia="微软雅黑" w:cs="微软雅黑"/>
          <w:b/>
          <w:bCs/>
          <w:sz w:val="21"/>
          <w:szCs w:val="21"/>
          <w:shd w:val="clear" w:color="auto" w:fill="FFFFFF"/>
        </w:rPr>
        <w:t>入学前</w:t>
      </w:r>
      <w:r>
        <w:rPr>
          <w:rFonts w:hint="eastAsia" w:ascii="微软雅黑" w:hAnsi="微软雅黑" w:eastAsia="微软雅黑" w:cs="微软雅黑"/>
          <w:sz w:val="21"/>
          <w:szCs w:val="21"/>
          <w:shd w:val="clear" w:color="auto" w:fill="FFFFFF"/>
        </w:rPr>
        <w:t>通过扫描下方所附的CFA®&amp;FRM®微信二维码填写信息进行预报名，</w:t>
      </w:r>
      <w:r>
        <w:rPr>
          <w:rFonts w:hint="eastAsia" w:ascii="微软雅黑" w:hAnsi="微软雅黑" w:eastAsia="微软雅黑" w:cs="微软雅黑"/>
          <w:color w:val="auto"/>
          <w:sz w:val="21"/>
          <w:szCs w:val="21"/>
          <w:shd w:val="clear" w:color="auto" w:fill="FFFFFF"/>
        </w:rPr>
        <w:t>同时添加新生咨询群进行详细了解。入学报到时，持报名申请表和近期一寸免冠彩照两张到湖南财政经济学院报到入学现场确认，CFA®&amp;FRM®管理中心对报名学生是否符合报名基本条件进行初审。</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rPr>
          <w:rFonts w:ascii="微软雅黑" w:hAnsi="微软雅黑" w:eastAsia="微软雅黑" w:cs="微软雅黑"/>
          <w:color w:val="auto"/>
          <w:sz w:val="21"/>
          <w:szCs w:val="21"/>
          <w:shd w:val="clear" w:color="auto" w:fill="FFFFFF"/>
        </w:rPr>
      </w:pPr>
      <w:r>
        <w:rPr>
          <w:rFonts w:hint="eastAsia" w:ascii="微软雅黑" w:hAnsi="微软雅黑" w:eastAsia="微软雅黑" w:cs="微软雅黑"/>
          <w:color w:val="auto"/>
          <w:sz w:val="21"/>
          <w:szCs w:val="21"/>
          <w:shd w:val="clear" w:color="auto" w:fill="FFFFFF"/>
        </w:rPr>
        <w:t>2．考核：（1）高考英语单科成绩在</w:t>
      </w:r>
      <w:r>
        <w:rPr>
          <w:rFonts w:ascii="微软雅黑" w:hAnsi="微软雅黑" w:eastAsia="微软雅黑" w:cs="微软雅黑"/>
          <w:color w:val="auto"/>
          <w:sz w:val="21"/>
          <w:szCs w:val="21"/>
          <w:shd w:val="clear" w:color="auto" w:fill="FFFFFF"/>
        </w:rPr>
        <w:t>90</w:t>
      </w:r>
      <w:r>
        <w:rPr>
          <w:rFonts w:hint="eastAsia" w:ascii="微软雅黑" w:hAnsi="微软雅黑" w:eastAsia="微软雅黑" w:cs="微软雅黑"/>
          <w:color w:val="auto"/>
          <w:sz w:val="21"/>
          <w:szCs w:val="21"/>
          <w:shd w:val="clear" w:color="auto" w:fill="FFFFFF"/>
        </w:rPr>
        <w:t>-1</w:t>
      </w:r>
      <w:r>
        <w:rPr>
          <w:rFonts w:ascii="微软雅黑" w:hAnsi="微软雅黑" w:eastAsia="微软雅黑" w:cs="微软雅黑"/>
          <w:color w:val="auto"/>
          <w:sz w:val="21"/>
          <w:szCs w:val="21"/>
          <w:shd w:val="clear" w:color="auto" w:fill="FFFFFF"/>
        </w:rPr>
        <w:t>15</w:t>
      </w:r>
      <w:r>
        <w:rPr>
          <w:rFonts w:hint="eastAsia" w:ascii="微软雅黑" w:hAnsi="微软雅黑" w:eastAsia="微软雅黑" w:cs="微软雅黑"/>
          <w:color w:val="auto"/>
          <w:sz w:val="21"/>
          <w:szCs w:val="21"/>
          <w:shd w:val="clear" w:color="auto" w:fill="FFFFFF"/>
        </w:rPr>
        <w:t>分之间的，参加学校组织的笔试，之后再进入面试；（2）高考英语单科成绩在1</w:t>
      </w:r>
      <w:r>
        <w:rPr>
          <w:rFonts w:hint="eastAsia" w:ascii="微软雅黑" w:hAnsi="微软雅黑" w:eastAsia="微软雅黑" w:cs="微软雅黑"/>
          <w:color w:val="auto"/>
          <w:sz w:val="21"/>
          <w:szCs w:val="21"/>
          <w:shd w:val="clear" w:color="auto" w:fill="FFFFFF"/>
          <w:lang w:val="en-US" w:eastAsia="zh-CN"/>
        </w:rPr>
        <w:t>15</w:t>
      </w:r>
      <w:r>
        <w:rPr>
          <w:rFonts w:hint="eastAsia" w:ascii="微软雅黑" w:hAnsi="微软雅黑" w:eastAsia="微软雅黑" w:cs="微软雅黑"/>
          <w:color w:val="auto"/>
          <w:sz w:val="21"/>
          <w:szCs w:val="21"/>
          <w:shd w:val="clear" w:color="auto" w:fill="FFFFFF"/>
        </w:rPr>
        <w:t>分以上的同学直接参加面试</w:t>
      </w:r>
      <w:r>
        <w:rPr>
          <w:rFonts w:ascii="微软雅黑" w:hAnsi="微软雅黑" w:eastAsia="微软雅黑" w:cs="微软雅黑"/>
          <w:color w:val="auto"/>
          <w:sz w:val="21"/>
          <w:szCs w:val="21"/>
          <w:shd w:val="clear" w:color="auto" w:fill="FFFFFF"/>
        </w:rPr>
        <w:t>。</w:t>
      </w:r>
      <w:r>
        <w:rPr>
          <w:rFonts w:hint="eastAsia" w:ascii="微软雅黑" w:hAnsi="微软雅黑" w:eastAsia="微软雅黑" w:cs="微软雅黑"/>
          <w:color w:val="auto"/>
          <w:sz w:val="21"/>
          <w:szCs w:val="21"/>
          <w:shd w:val="clear" w:color="auto" w:fill="FFFFFF"/>
        </w:rPr>
        <w:t>对通过初审的学生进行面试，重点考察学生的英语阅读和英语表达能力、求知欲望、自我管理能力等。</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pPr>
      <w:r>
        <w:rPr>
          <w:rFonts w:hint="eastAsia" w:ascii="微软雅黑" w:hAnsi="微软雅黑" w:eastAsia="微软雅黑" w:cs="微软雅黑"/>
          <w:sz w:val="21"/>
          <w:szCs w:val="21"/>
          <w:shd w:val="clear" w:color="auto" w:fill="FFFFFF"/>
        </w:rPr>
        <w:t>3．录取规则：高考英语成绩高于1</w:t>
      </w:r>
      <w:r>
        <w:rPr>
          <w:rFonts w:ascii="微软雅黑" w:hAnsi="微软雅黑" w:eastAsia="微软雅黑" w:cs="微软雅黑"/>
          <w:sz w:val="21"/>
          <w:szCs w:val="21"/>
          <w:shd w:val="clear" w:color="auto" w:fill="FFFFFF"/>
        </w:rPr>
        <w:t>15</w:t>
      </w:r>
      <w:r>
        <w:rPr>
          <w:rFonts w:hint="eastAsia" w:ascii="微软雅黑" w:hAnsi="微软雅黑" w:eastAsia="微软雅黑" w:cs="微软雅黑"/>
          <w:sz w:val="21"/>
          <w:szCs w:val="21"/>
          <w:shd w:val="clear" w:color="auto" w:fill="FFFFFF"/>
        </w:rPr>
        <w:t>分的占录取总成绩的70%，高考英语成</w:t>
      </w:r>
      <w:r>
        <w:rPr>
          <w:rFonts w:hint="eastAsia" w:ascii="微软雅黑" w:hAnsi="微软雅黑" w:eastAsia="微软雅黑" w:cs="微软雅黑"/>
          <w:color w:val="auto"/>
          <w:sz w:val="21"/>
          <w:szCs w:val="21"/>
          <w:shd w:val="clear" w:color="auto" w:fill="FFFFFF"/>
        </w:rPr>
        <w:t>绩</w:t>
      </w:r>
      <w:r>
        <w:rPr>
          <w:rFonts w:ascii="微软雅黑" w:hAnsi="微软雅黑" w:eastAsia="微软雅黑" w:cs="微软雅黑"/>
          <w:color w:val="auto"/>
          <w:sz w:val="21"/>
          <w:szCs w:val="21"/>
          <w:shd w:val="clear" w:color="auto" w:fill="FFFFFF"/>
        </w:rPr>
        <w:t>95</w:t>
      </w:r>
      <w:r>
        <w:rPr>
          <w:rFonts w:hint="eastAsia" w:ascii="微软雅黑" w:hAnsi="微软雅黑" w:eastAsia="微软雅黑" w:cs="微软雅黑"/>
          <w:color w:val="auto"/>
          <w:sz w:val="21"/>
          <w:szCs w:val="21"/>
          <w:shd w:val="clear" w:color="auto" w:fill="FFFFFF"/>
        </w:rPr>
        <w:t>-1</w:t>
      </w:r>
      <w:r>
        <w:rPr>
          <w:rFonts w:ascii="微软雅黑" w:hAnsi="微软雅黑" w:eastAsia="微软雅黑" w:cs="微软雅黑"/>
          <w:color w:val="auto"/>
          <w:sz w:val="21"/>
          <w:szCs w:val="21"/>
          <w:shd w:val="clear" w:color="auto" w:fill="FFFFFF"/>
        </w:rPr>
        <w:t>15</w:t>
      </w:r>
      <w:r>
        <w:rPr>
          <w:rFonts w:hint="eastAsia" w:ascii="微软雅黑" w:hAnsi="微软雅黑" w:eastAsia="微软雅黑" w:cs="微软雅黑"/>
          <w:color w:val="auto"/>
          <w:sz w:val="21"/>
          <w:szCs w:val="21"/>
          <w:shd w:val="clear" w:color="auto" w:fill="FFFFFF"/>
        </w:rPr>
        <w:t>分之</w:t>
      </w:r>
      <w:r>
        <w:rPr>
          <w:rFonts w:hint="eastAsia" w:ascii="微软雅黑" w:hAnsi="微软雅黑" w:eastAsia="微软雅黑" w:cs="微软雅黑"/>
          <w:sz w:val="21"/>
          <w:szCs w:val="21"/>
          <w:shd w:val="clear" w:color="auto" w:fill="FFFFFF"/>
        </w:rPr>
        <w:t>间的，高考英语与笔试英语成绩各占50%折算后占录取总成绩的70%，面试成绩占录取总成绩30%，按录取总成绩从高到低择优预录取。</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20" w:firstLineChars="200"/>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4．录取公示：将严格按照公开、公平、公正的原则择优录取。</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20" w:firstLineChars="200"/>
        <w:jc w:val="both"/>
        <w:textAlignment w:val="auto"/>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5．现场确认：学生家长和学生本人现场确认，签订三方协议(具体时间、地点另行通知)。</w:t>
      </w:r>
    </w:p>
    <w:p>
      <w:pPr>
        <w:keepNext w:val="0"/>
        <w:keepLines w:val="0"/>
        <w:pageBreakBefore w:val="0"/>
        <w:kinsoku/>
        <w:wordWrap/>
        <w:overflowPunct/>
        <w:topLinePunct w:val="0"/>
        <w:bidi w:val="0"/>
        <w:adjustRightInd/>
        <w:snapToGrid/>
        <w:spacing w:line="520" w:lineRule="exact"/>
        <w:ind w:firstLine="425" w:firstLineChars="180"/>
        <w:textAlignment w:val="auto"/>
        <w:rPr>
          <w:rFonts w:ascii="微软雅黑" w:hAnsi="微软雅黑" w:eastAsia="微软雅黑" w:cstheme="minorBidi"/>
          <w:b/>
          <w:spacing w:val="13"/>
          <w:szCs w:val="21"/>
          <w:shd w:val="clear" w:color="auto" w:fill="FFFFFF"/>
        </w:rPr>
      </w:pPr>
      <w:r>
        <w:rPr>
          <w:rFonts w:hint="eastAsia" w:ascii="微软雅黑" w:hAnsi="微软雅黑" w:eastAsia="微软雅黑" w:cstheme="minorBidi"/>
          <w:b/>
          <w:spacing w:val="13"/>
          <w:szCs w:val="21"/>
          <w:shd w:val="clear" w:color="auto" w:fill="FFFFFF"/>
        </w:rPr>
        <w:t>六、金融学CFA®&amp;FRM®方向班学习费用</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630" w:leftChars="200" w:hanging="210" w:hangingChars="100"/>
        <w:jc w:val="both"/>
        <w:textAlignment w:val="auto"/>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1.湖南财政经济学院财政金融学院金融学专业正常学费。</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630" w:leftChars="200" w:hanging="210" w:hangingChars="100"/>
        <w:jc w:val="both"/>
        <w:textAlignment w:val="auto"/>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2.金融学CFA®&amp;FRM®方向班课程培训费核定标准按11000元/学年收取，（共收取四年，每学年与本科学费一并缴纳）共计44000元。</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630" w:leftChars="200" w:hanging="210" w:hangingChars="100"/>
        <w:jc w:val="both"/>
        <w:textAlignment w:val="auto"/>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3.CFA®&amp;FRM®课程培训费包括在校期间课程面授学费、配套的网络课程和讲义费等。</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630" w:leftChars="200" w:hanging="210" w:hangingChars="100"/>
        <w:jc w:val="both"/>
        <w:textAlignment w:val="auto"/>
        <w:rPr>
          <w:rFonts w:hint="eastAsia"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4.后续根据学生报考情况，学生需向CFA®&amp;FRM®官方缴纳注册费、年费、报考费等。</w:t>
      </w:r>
    </w:p>
    <w:p>
      <w:pPr>
        <w:pStyle w:val="6"/>
        <w:keepNext w:val="0"/>
        <w:keepLines w:val="0"/>
        <w:pageBreakBefore w:val="0"/>
        <w:widowControl/>
        <w:kinsoku/>
        <w:wordWrap/>
        <w:overflowPunct/>
        <w:topLinePunct w:val="0"/>
        <w:bidi w:val="0"/>
        <w:adjustRightInd/>
        <w:snapToGrid/>
        <w:spacing w:beforeLines="50" w:beforeAutospacing="0" w:afterLines="50" w:afterAutospacing="0" w:line="520" w:lineRule="exact"/>
        <w:ind w:firstLine="472" w:firstLineChars="200"/>
        <w:jc w:val="both"/>
        <w:textAlignment w:val="auto"/>
        <w:rPr>
          <w:rFonts w:ascii="微软雅黑" w:hAnsi="微软雅黑" w:eastAsia="微软雅黑" w:cstheme="minorBidi"/>
          <w:b/>
          <w:spacing w:val="13"/>
          <w:kern w:val="2"/>
          <w:sz w:val="21"/>
          <w:szCs w:val="21"/>
          <w:shd w:val="clear" w:color="auto" w:fill="FFFFFF"/>
        </w:rPr>
      </w:pPr>
      <w:bookmarkStart w:id="1" w:name="_GoBack"/>
      <w:bookmarkEnd w:id="1"/>
      <w:r>
        <w:rPr>
          <w:rFonts w:hint="eastAsia" w:ascii="微软雅黑" w:hAnsi="微软雅黑" w:eastAsia="微软雅黑" w:cstheme="minorBidi"/>
          <w:b/>
          <w:spacing w:val="13"/>
          <w:kern w:val="2"/>
          <w:sz w:val="21"/>
          <w:szCs w:val="21"/>
          <w:shd w:val="clear" w:color="auto" w:fill="FFFFFF"/>
        </w:rPr>
        <w:t>七、金融学CFA®&amp;FRM®方向班联系方式</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rPr>
          <w:rFonts w:hint="eastAsia" w:ascii="微软雅黑" w:hAnsi="微软雅黑" w:eastAsia="微软雅黑" w:cs="微软雅黑"/>
          <w:b w:val="0"/>
          <w:bCs w:val="0"/>
          <w:sz w:val="21"/>
          <w:szCs w:val="21"/>
          <w:shd w:val="clear" w:color="auto" w:fill="FFFFFF"/>
          <w:lang w:val="en-US" w:eastAsia="zh-CN"/>
        </w:rPr>
      </w:pPr>
      <w:r>
        <w:rPr>
          <w:rFonts w:hint="eastAsia" w:ascii="微软雅黑" w:hAnsi="微软雅黑" w:eastAsia="微软雅黑" w:cs="微软雅黑"/>
          <w:b w:val="0"/>
          <w:bCs w:val="0"/>
          <w:sz w:val="21"/>
          <w:szCs w:val="21"/>
          <w:shd w:val="clear" w:color="auto" w:fill="FFFFFF"/>
          <w:lang w:val="en-US" w:eastAsia="zh-CN"/>
        </w:rPr>
        <w:t>1.咨询电话： 15580035296（彭老师） 18570088095（宁老师)  13973182610（李老师）</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rPr>
          <w:rFonts w:hint="eastAsia" w:ascii="微软雅黑" w:hAnsi="微软雅黑" w:eastAsia="微软雅黑" w:cs="微软雅黑"/>
          <w:b w:val="0"/>
          <w:bCs w:val="0"/>
          <w:sz w:val="21"/>
          <w:szCs w:val="21"/>
          <w:shd w:val="clear" w:color="auto" w:fill="FFFFFF"/>
          <w:lang w:val="en-US" w:eastAsia="zh-CN"/>
        </w:rPr>
      </w:pPr>
      <w:bookmarkStart w:id="0" w:name="OLE_LINK1"/>
      <w:r>
        <w:rPr>
          <w:rFonts w:hint="eastAsia" w:ascii="微软雅黑" w:hAnsi="微软雅黑" w:eastAsia="微软雅黑" w:cs="微软雅黑"/>
          <w:b w:val="0"/>
          <w:bCs w:val="0"/>
          <w:sz w:val="21"/>
          <w:szCs w:val="21"/>
          <w:shd w:val="clear" w:color="auto" w:fill="FFFFFF"/>
          <w:lang w:val="en-US" w:eastAsia="zh-CN"/>
        </w:rPr>
        <w:t>2.2022级CFA®&amp;FRM®新生咨询群(QQ): 816921151</w: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rPr>
          <w:rFonts w:hint="eastAsia" w:ascii="微软雅黑" w:hAnsi="微软雅黑" w:eastAsia="微软雅黑" w:cs="微软雅黑"/>
          <w:b w:val="0"/>
          <w:bCs w:val="0"/>
          <w:sz w:val="21"/>
          <w:szCs w:val="21"/>
          <w:shd w:val="clear" w:color="auto" w:fill="FFFFFF"/>
          <w:lang w:val="en-US" w:eastAsia="zh-CN"/>
        </w:rPr>
      </w:pPr>
      <w:r>
        <w:rPr>
          <w:rFonts w:hint="eastAsia" w:ascii="微软雅黑" w:hAnsi="微软雅黑" w:eastAsia="微软雅黑" w:cs="微软雅黑"/>
          <w:b w:val="0"/>
          <w:bCs w:val="0"/>
          <w:sz w:val="21"/>
          <w:szCs w:val="21"/>
          <w:shd w:val="clear" w:color="auto" w:fill="FFFFFF"/>
          <w:lang w:val="en-US" w:eastAsia="zh-CN"/>
        </w:rPr>
        <w:t>3.咨询办公室：校办公楼一楼103室（CFA®&amp;FRM®教育中心）</w:t>
      </w:r>
      <w:bookmarkEnd w:id="0"/>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firstLine="480"/>
        <w:jc w:val="both"/>
        <w:textAlignment w:val="auto"/>
        <w:rPr>
          <w:rFonts w:hint="eastAsia" w:ascii="微软雅黑" w:hAnsi="微软雅黑" w:eastAsia="微软雅黑" w:cs="微软雅黑"/>
          <w:b w:val="0"/>
          <w:bCs w:val="0"/>
          <w:sz w:val="21"/>
          <w:szCs w:val="21"/>
          <w:shd w:val="clear" w:color="auto" w:fill="FFFFFF"/>
          <w:lang w:val="en-US" w:eastAsia="zh-CN"/>
        </w:rPr>
      </w:pPr>
      <w:r>
        <w:rPr>
          <w:rFonts w:hint="eastAsia" w:ascii="微软雅黑" w:hAnsi="微软雅黑" w:eastAsia="微软雅黑" w:cs="微软雅黑"/>
          <w:b w:val="0"/>
          <w:bCs w:val="0"/>
          <w:sz w:val="21"/>
          <w:szCs w:val="21"/>
          <w:shd w:val="clear" w:color="auto" w:fill="FFFFFF"/>
          <w:lang w:val="en-US" w:eastAsia="zh-CN"/>
        </w:rPr>
        <w:t>4.网上报名网址：</w:t>
      </w:r>
      <w:r>
        <w:rPr>
          <w:rFonts w:hint="eastAsia" w:ascii="微软雅黑" w:hAnsi="微软雅黑" w:eastAsia="微软雅黑" w:cs="微软雅黑"/>
          <w:b w:val="0"/>
          <w:bCs w:val="0"/>
          <w:sz w:val="21"/>
          <w:szCs w:val="21"/>
          <w:shd w:val="clear" w:color="auto" w:fill="FFFFFF"/>
          <w:lang w:val="en-US" w:eastAsia="zh-CN"/>
        </w:rPr>
        <w:fldChar w:fldCharType="begin"/>
      </w:r>
      <w:r>
        <w:rPr>
          <w:rFonts w:hint="eastAsia" w:ascii="微软雅黑" w:hAnsi="微软雅黑" w:eastAsia="微软雅黑" w:cs="微软雅黑"/>
          <w:b w:val="0"/>
          <w:bCs w:val="0"/>
          <w:sz w:val="21"/>
          <w:szCs w:val="21"/>
          <w:shd w:val="clear" w:color="auto" w:fill="FFFFFF"/>
          <w:lang w:val="en-US" w:eastAsia="zh-CN"/>
        </w:rPr>
        <w:instrText xml:space="preserve"> HYPERLINK "https://www.wjx.cn/jq/41711908.aspx或微信扫描二维码" </w:instrText>
      </w:r>
      <w:r>
        <w:rPr>
          <w:rFonts w:hint="eastAsia" w:ascii="微软雅黑" w:hAnsi="微软雅黑" w:eastAsia="微软雅黑" w:cs="微软雅黑"/>
          <w:b w:val="0"/>
          <w:bCs w:val="0"/>
          <w:sz w:val="21"/>
          <w:szCs w:val="21"/>
          <w:shd w:val="clear" w:color="auto" w:fill="FFFFFF"/>
          <w:lang w:val="en-US" w:eastAsia="zh-CN"/>
        </w:rPr>
        <w:fldChar w:fldCharType="separate"/>
      </w:r>
      <w:r>
        <w:rPr>
          <w:rFonts w:hint="eastAsia" w:ascii="微软雅黑" w:hAnsi="微软雅黑" w:eastAsia="微软雅黑" w:cs="微软雅黑"/>
          <w:sz w:val="21"/>
          <w:szCs w:val="21"/>
          <w:shd w:val="clear" w:color="auto" w:fill="FFFFFF"/>
        </w:rPr>
        <w:t>http://www.hufe.edu.cn/hncywz/jrxy</w:t>
      </w:r>
      <w:r>
        <w:rPr>
          <w:rFonts w:hint="eastAsia" w:ascii="微软雅黑" w:hAnsi="微软雅黑" w:eastAsia="微软雅黑" w:cs="微软雅黑"/>
          <w:b w:val="0"/>
          <w:bCs w:val="0"/>
          <w:sz w:val="21"/>
          <w:szCs w:val="21"/>
          <w:shd w:val="clear" w:color="auto" w:fill="FFFFFF"/>
          <w:lang w:val="en-US" w:eastAsia="zh-CN"/>
        </w:rPr>
        <w:t>或微信扫描二维码</w:t>
      </w:r>
      <w:r>
        <w:rPr>
          <w:rFonts w:hint="eastAsia" w:ascii="微软雅黑" w:hAnsi="微软雅黑" w:eastAsia="微软雅黑" w:cs="微软雅黑"/>
          <w:b w:val="0"/>
          <w:bCs w:val="0"/>
          <w:sz w:val="21"/>
          <w:szCs w:val="21"/>
          <w:shd w:val="clear" w:color="auto" w:fill="FFFFFF"/>
          <w:lang w:val="en-US" w:eastAsia="zh-CN"/>
        </w:rPr>
        <w:fldChar w:fldCharType="end"/>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hd w:val="clear" w:color="auto" w:fill="FFFFFF"/>
        </w:rPr>
      </w:pPr>
      <w:r>
        <w:drawing>
          <wp:anchor distT="0" distB="0" distL="114300" distR="114300" simplePos="0" relativeHeight="251661312" behindDoc="0" locked="0" layoutInCell="1" allowOverlap="1">
            <wp:simplePos x="0" y="0"/>
            <wp:positionH relativeFrom="column">
              <wp:posOffset>3665855</wp:posOffset>
            </wp:positionH>
            <wp:positionV relativeFrom="paragraph">
              <wp:posOffset>287020</wp:posOffset>
            </wp:positionV>
            <wp:extent cx="1461770" cy="1373505"/>
            <wp:effectExtent l="0" t="0" r="11430" b="234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61770" cy="137350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57785</wp:posOffset>
            </wp:positionH>
            <wp:positionV relativeFrom="paragraph">
              <wp:posOffset>261620</wp:posOffset>
            </wp:positionV>
            <wp:extent cx="2287905" cy="1760855"/>
            <wp:effectExtent l="0" t="0" r="23495" b="171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2287905" cy="1760855"/>
                    </a:xfrm>
                    <a:prstGeom prst="rect">
                      <a:avLst/>
                    </a:prstGeom>
                    <a:noFill/>
                    <a:ln>
                      <a:noFill/>
                    </a:ln>
                  </pic:spPr>
                </pic:pic>
              </a:graphicData>
            </a:graphic>
          </wp:anchor>
        </w:drawing>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z w:val="13"/>
          <w:szCs w:val="13"/>
          <w:shd w:val="clear" w:color="auto" w:fill="FFFFFF"/>
        </w:rPr>
      </w:pP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z w:val="13"/>
          <w:szCs w:val="13"/>
          <w:shd w:val="clear" w:color="auto" w:fill="FFFFFF"/>
        </w:rPr>
      </w:pP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z w:val="13"/>
          <w:szCs w:val="13"/>
          <w:shd w:val="clear" w:color="auto" w:fill="FFFFFF"/>
        </w:rPr>
      </w:pP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z w:val="13"/>
          <w:szCs w:val="13"/>
          <w:shd w:val="clear" w:color="auto" w:fill="FFFFFF"/>
        </w:rPr>
      </w:pP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z w:val="13"/>
          <w:szCs w:val="13"/>
          <w:shd w:val="clear" w:color="auto" w:fill="FFFFFF"/>
        </w:rPr>
      </w:pPr>
      <w:r>
        <w:rPr>
          <w:rFonts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column">
                  <wp:posOffset>3449320</wp:posOffset>
                </wp:positionH>
                <wp:positionV relativeFrom="paragraph">
                  <wp:posOffset>121920</wp:posOffset>
                </wp:positionV>
                <wp:extent cx="2000250" cy="279400"/>
                <wp:effectExtent l="6350" t="6350" r="25400" b="19050"/>
                <wp:wrapNone/>
                <wp:docPr id="7" name="文本框 7"/>
                <wp:cNvGraphicFramePr/>
                <a:graphic xmlns:a="http://schemas.openxmlformats.org/drawingml/2006/main">
                  <a:graphicData uri="http://schemas.microsoft.com/office/word/2010/wordprocessingShape">
                    <wps:wsp>
                      <wps:cNvSpPr txBox="1"/>
                      <wps:spPr>
                        <a:xfrm>
                          <a:off x="4251960" y="8338185"/>
                          <a:ext cx="2000250" cy="279400"/>
                        </a:xfrm>
                        <a:prstGeom prst="rect">
                          <a:avLst/>
                        </a:prstGeom>
                        <a:solidFill>
                          <a:srgbClr val="FFFFFF"/>
                        </a:solidFill>
                        <a:ln w="6350">
                          <a:solidFill>
                            <a:prstClr val="black"/>
                          </a:solidFill>
                        </a:ln>
                        <a:effectLst/>
                      </wps:spPr>
                      <wps:txbx>
                        <w:txbxContent>
                          <w:p>
                            <w:r>
                              <w:rPr>
                                <w:rFonts w:hint="eastAsia"/>
                              </w:rPr>
                              <w:t>微信扫码线上预报名</w:t>
                            </w:r>
                            <w:r>
                              <w:t>（</w:t>
                            </w:r>
                            <w:r>
                              <w:rPr>
                                <w:rFonts w:hint="eastAsia"/>
                              </w:rPr>
                              <w:t>安全码</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6pt;margin-top:9.6pt;height:22pt;width:157.5pt;z-index:251660288;mso-width-relative:page;mso-height-relative:page;" fillcolor="#FFFFFF" filled="t" stroked="t" coordsize="21600,21600" o:gfxdata="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gPnUNUAAAAJAQAADwAAAAAAAAABACAAAAAiAAAAZHJzL2Rvd25yZXYueG1s&#10;UEsBAhQAFAAAAAgAh07iQFkF4K1tAgAA0QQAAA4AAAAAAAAAAQAgAAAAJAEAAGRycy9lMm9Eb2Mu&#10;eG1sUEsFBgAAAAAGAAYAWQEAAAMGAAAAAA==&#10;">
                <v:fill on="t" focussize="0,0"/>
                <v:stroke weight="0.5pt" color="#000000" joinstyle="round"/>
                <v:imagedata o:title=""/>
                <o:lock v:ext="edit" aspectratio="f"/>
                <v:textbox>
                  <w:txbxContent>
                    <w:p>
                      <w:r>
                        <w:rPr>
                          <w:rFonts w:hint="eastAsia"/>
                        </w:rPr>
                        <w:t>微信扫码线上预报名</w:t>
                      </w:r>
                      <w:r>
                        <w:t>（</w:t>
                      </w:r>
                      <w:r>
                        <w:rPr>
                          <w:rFonts w:hint="eastAsia"/>
                        </w:rPr>
                        <w:t>安全码</w:t>
                      </w:r>
                      <w:r>
                        <w:t>）</w:t>
                      </w:r>
                    </w:p>
                  </w:txbxContent>
                </v:textbox>
              </v:shape>
            </w:pict>
          </mc:Fallback>
        </mc:AlternateContent>
      </w: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ind w:left="450"/>
        <w:jc w:val="both"/>
        <w:textAlignment w:val="auto"/>
        <w:rPr>
          <w:rFonts w:ascii="微软雅黑" w:hAnsi="微软雅黑" w:eastAsia="微软雅黑" w:cs="微软雅黑"/>
          <w:sz w:val="13"/>
          <w:szCs w:val="13"/>
          <w:shd w:val="clear" w:color="auto" w:fill="FFFFFF"/>
        </w:rPr>
      </w:pP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CFA Institute does not endorse, promote, or warrant the accuracy or quality of the products or services offered by ZBG Education. CFA</w:t>
      </w:r>
      <w:r>
        <w:rPr>
          <w:rFonts w:hint="eastAsia" w:ascii="微软雅黑" w:hAnsi="微软雅黑" w:eastAsia="微软雅黑" w:cs="微软雅黑"/>
          <w:sz w:val="18"/>
          <w:szCs w:val="18"/>
          <w:shd w:val="clear" w:color="auto" w:fill="FFFFFF"/>
          <w:lang w:val="en-US" w:eastAsia="zh-CN"/>
        </w:rPr>
        <w:t xml:space="preserve"> </w:t>
      </w:r>
      <w:r>
        <w:rPr>
          <w:rFonts w:hint="eastAsia" w:ascii="微软雅黑" w:hAnsi="微软雅黑" w:eastAsia="微软雅黑" w:cs="微软雅黑"/>
          <w:sz w:val="18"/>
          <w:szCs w:val="18"/>
          <w:shd w:val="clear" w:color="auto" w:fill="FFFFFF"/>
        </w:rPr>
        <w:t>and Chartered Financial Analyst Are registered trademarks owned by CFA Institute.</w:t>
      </w:r>
    </w:p>
    <w:p>
      <w:pPr>
        <w:keepNext w:val="0"/>
        <w:keepLines w:val="0"/>
        <w:pageBreakBefore w:val="0"/>
        <w:kinsoku/>
        <w:wordWrap/>
        <w:overflowPunct/>
        <w:topLinePunct w:val="0"/>
        <w:bidi w:val="0"/>
        <w:adjustRightInd/>
        <w:snapToGrid/>
        <w:spacing w:line="520" w:lineRule="exact"/>
        <w:jc w:val="center"/>
        <w:textAlignment w:val="auto"/>
        <w:rPr>
          <w:rFonts w:hint="eastAsia" w:ascii="黑体" w:hAnsi="黑体" w:eastAsia="黑体" w:cs="黑体"/>
          <w:sz w:val="32"/>
          <w:szCs w:val="32"/>
        </w:rPr>
      </w:pPr>
    </w:p>
    <w:p>
      <w:pPr>
        <w:pStyle w:val="6"/>
        <w:keepNext w:val="0"/>
        <w:keepLines w:val="0"/>
        <w:pageBreakBefore w:val="0"/>
        <w:widowControl/>
        <w:shd w:val="clear" w:color="auto" w:fill="FFFFFF"/>
        <w:kinsoku/>
        <w:wordWrap/>
        <w:overflowPunct/>
        <w:topLinePunct w:val="0"/>
        <w:bidi w:val="0"/>
        <w:adjustRightInd/>
        <w:snapToGrid/>
        <w:spacing w:beforeAutospacing="0" w:afterAutospacing="0" w:line="520" w:lineRule="exact"/>
        <w:jc w:val="both"/>
        <w:textAlignment w:val="auto"/>
        <w:rPr>
          <w:rFonts w:ascii="微软雅黑" w:hAnsi="微软雅黑" w:eastAsia="微软雅黑" w:cs="微软雅黑"/>
          <w:sz w:val="18"/>
          <w:szCs w:val="18"/>
          <w:shd w:val="clear" w:color="auto" w:fill="FFFFFF"/>
        </w:rPr>
      </w:pPr>
    </w:p>
    <w:sectPr>
      <w:headerReference r:id="rId3" w:type="default"/>
      <w:pgSz w:w="11906" w:h="16838"/>
      <w:pgMar w:top="816" w:right="1236" w:bottom="1440" w:left="1417"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思源黑体 CN ExtraLight">
    <w:altName w:val="黑体"/>
    <w:panose1 w:val="00000000000000000000"/>
    <w:charset w:val="86"/>
    <w:family w:val="auto"/>
    <w:pitch w:val="default"/>
    <w:sig w:usb0="00000000" w:usb1="00000000" w:usb2="00000016" w:usb3="00000000" w:csb0="60060107"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思源黑体 CN ExtraLight" w:hAnsi="思源黑体 CN ExtraLight" w:eastAsia="思源黑体 CN ExtraLight" w:cs="思源黑体 CN ExtraLight"/>
        <w:color w:val="FF0000"/>
        <w:sz w:val="21"/>
        <w:szCs w:val="21"/>
      </w:rPr>
    </w:pPr>
    <w:r>
      <w:rPr>
        <w:rFonts w:hint="eastAsia" w:ascii="思源黑体 CN ExtraLight" w:hAnsi="思源黑体 CN ExtraLight" w:eastAsia="思源黑体 CN ExtraLight" w:cs="思源黑体 CN ExtraLight"/>
        <w:color w:val="FF0000"/>
        <w:sz w:val="21"/>
        <w:szCs w:val="21"/>
      </w:rPr>
      <w:drawing>
        <wp:anchor distT="0" distB="0" distL="114300" distR="114300" simplePos="0" relativeHeight="251659264" behindDoc="0" locked="0" layoutInCell="1" allowOverlap="1">
          <wp:simplePos x="0" y="0"/>
          <wp:positionH relativeFrom="column">
            <wp:posOffset>2366645</wp:posOffset>
          </wp:positionH>
          <wp:positionV relativeFrom="paragraph">
            <wp:posOffset>-213360</wp:posOffset>
          </wp:positionV>
          <wp:extent cx="1714500" cy="35115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1714652" cy="351129"/>
                  </a:xfrm>
                  <a:prstGeom prst="rect">
                    <a:avLst/>
                  </a:prstGeom>
                  <a:noFill/>
                  <a:ln>
                    <a:noFill/>
                  </a:ln>
                </pic:spPr>
              </pic:pic>
            </a:graphicData>
          </a:graphic>
        </wp:anchor>
      </w:drawing>
    </w:r>
  </w:p>
  <w:p>
    <w:pPr>
      <w:pStyle w:val="5"/>
      <w:rPr>
        <w:rFonts w:ascii="思源黑体 CN ExtraLight" w:hAnsi="思源黑体 CN ExtraLight" w:eastAsia="思源黑体 CN ExtraLight" w:cs="思源黑体 CN ExtraLight"/>
        <w:color w:val="FF0000"/>
        <w:sz w:val="21"/>
        <w:szCs w:val="21"/>
      </w:rPr>
    </w:pPr>
    <w:r>
      <w:rPr>
        <w:rFonts w:hint="eastAsia" w:ascii="思源黑体 CN ExtraLight" w:hAnsi="思源黑体 CN ExtraLight" w:eastAsia="思源黑体 CN ExtraLight" w:cs="思源黑体 CN ExtraLight"/>
        <w:color w:val="FF0000"/>
        <w:sz w:val="21"/>
        <w:szCs w:val="21"/>
      </w:rPr>
      <w:t>全球推崇的国际化金融高端人才:特许金融分析师CFA和金融风险管理师FRM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15FAC"/>
    <w:multiLevelType w:val="singleLevel"/>
    <w:tmpl w:val="4D215FAC"/>
    <w:lvl w:ilvl="0" w:tentative="0">
      <w:start w:val="2"/>
      <w:numFmt w:val="decimal"/>
      <w:suff w:val="nothing"/>
      <w:lvlText w:val="%1．"/>
      <w:lvlJc w:val="left"/>
    </w:lvl>
  </w:abstractNum>
  <w:abstractNum w:abstractNumId="1">
    <w:nsid w:val="60D29727"/>
    <w:multiLevelType w:val="singleLevel"/>
    <w:tmpl w:val="60D2972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MmRmY2IxMDIxZTFhNmY2YjU5MTIyNjg0YmJmMDYifQ=="/>
  </w:docVars>
  <w:rsids>
    <w:rsidRoot w:val="209412DE"/>
    <w:rsid w:val="00014B03"/>
    <w:rsid w:val="00057967"/>
    <w:rsid w:val="00066197"/>
    <w:rsid w:val="000B3BB7"/>
    <w:rsid w:val="000D6FDB"/>
    <w:rsid w:val="001026C8"/>
    <w:rsid w:val="00154A7B"/>
    <w:rsid w:val="00154C3D"/>
    <w:rsid w:val="00252087"/>
    <w:rsid w:val="002720FD"/>
    <w:rsid w:val="0028738B"/>
    <w:rsid w:val="002A2A4D"/>
    <w:rsid w:val="002D044F"/>
    <w:rsid w:val="002D1A46"/>
    <w:rsid w:val="00356B80"/>
    <w:rsid w:val="00385366"/>
    <w:rsid w:val="003A2E22"/>
    <w:rsid w:val="00416440"/>
    <w:rsid w:val="004D78DC"/>
    <w:rsid w:val="005604C1"/>
    <w:rsid w:val="00594FCE"/>
    <w:rsid w:val="005D7931"/>
    <w:rsid w:val="006D3392"/>
    <w:rsid w:val="00712267"/>
    <w:rsid w:val="007530FA"/>
    <w:rsid w:val="007A00B7"/>
    <w:rsid w:val="00830B91"/>
    <w:rsid w:val="00867DF0"/>
    <w:rsid w:val="008E54AA"/>
    <w:rsid w:val="008E667D"/>
    <w:rsid w:val="00944C46"/>
    <w:rsid w:val="009E3D16"/>
    <w:rsid w:val="009F6BA4"/>
    <w:rsid w:val="00AB293F"/>
    <w:rsid w:val="00AB3970"/>
    <w:rsid w:val="00B11E89"/>
    <w:rsid w:val="00B66941"/>
    <w:rsid w:val="00B72E09"/>
    <w:rsid w:val="00B82D29"/>
    <w:rsid w:val="00BD6D14"/>
    <w:rsid w:val="00C17A47"/>
    <w:rsid w:val="00D47339"/>
    <w:rsid w:val="00D908A9"/>
    <w:rsid w:val="00D91CD5"/>
    <w:rsid w:val="00EE1D35"/>
    <w:rsid w:val="00F049A6"/>
    <w:rsid w:val="00FA2DA1"/>
    <w:rsid w:val="03600CF9"/>
    <w:rsid w:val="0B234E91"/>
    <w:rsid w:val="0C0C65AD"/>
    <w:rsid w:val="0C2D3693"/>
    <w:rsid w:val="0E463DA0"/>
    <w:rsid w:val="1358491D"/>
    <w:rsid w:val="19AF3FED"/>
    <w:rsid w:val="1A214DCC"/>
    <w:rsid w:val="1E7F0191"/>
    <w:rsid w:val="209412DE"/>
    <w:rsid w:val="21921787"/>
    <w:rsid w:val="256661AE"/>
    <w:rsid w:val="26A4050C"/>
    <w:rsid w:val="2D074F8B"/>
    <w:rsid w:val="357F0269"/>
    <w:rsid w:val="368947D0"/>
    <w:rsid w:val="3A5F6C70"/>
    <w:rsid w:val="3E391DE3"/>
    <w:rsid w:val="3FFD04F4"/>
    <w:rsid w:val="44862F80"/>
    <w:rsid w:val="4EDD26E9"/>
    <w:rsid w:val="565F6EC8"/>
    <w:rsid w:val="57955A6F"/>
    <w:rsid w:val="58B24129"/>
    <w:rsid w:val="5B7042CC"/>
    <w:rsid w:val="5BBB45F4"/>
    <w:rsid w:val="5BCE7150"/>
    <w:rsid w:val="5D3B7EED"/>
    <w:rsid w:val="5ED52291"/>
    <w:rsid w:val="62436D9C"/>
    <w:rsid w:val="67633FF8"/>
    <w:rsid w:val="676D417C"/>
    <w:rsid w:val="67EBB392"/>
    <w:rsid w:val="689D7E75"/>
    <w:rsid w:val="6AD9408D"/>
    <w:rsid w:val="6B8D66B9"/>
    <w:rsid w:val="6D6C0DFC"/>
    <w:rsid w:val="6FAE9561"/>
    <w:rsid w:val="74841E0B"/>
    <w:rsid w:val="75B5CDD7"/>
    <w:rsid w:val="77752EFB"/>
    <w:rsid w:val="7A513535"/>
    <w:rsid w:val="7AF644C6"/>
    <w:rsid w:val="7C382771"/>
    <w:rsid w:val="7D7F80BD"/>
    <w:rsid w:val="7D7FC5DD"/>
    <w:rsid w:val="7DF992BF"/>
    <w:rsid w:val="7EFF062C"/>
    <w:rsid w:val="7EFF8CF0"/>
    <w:rsid w:val="7FC6B477"/>
    <w:rsid w:val="A6929002"/>
    <w:rsid w:val="B36BE805"/>
    <w:rsid w:val="CFBF7B8D"/>
    <w:rsid w:val="DE64CD22"/>
    <w:rsid w:val="DFDB5586"/>
    <w:rsid w:val="DFF3DD25"/>
    <w:rsid w:val="DFFF67D5"/>
    <w:rsid w:val="E78E760D"/>
    <w:rsid w:val="F5FF6095"/>
    <w:rsid w:val="FFBF87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iPriority="99" w:semiHidden="0" w:name="HTML Cite" w:locked="1"/>
    <w:lsdException w:qFormat="1" w:uiPriority="99" w:semiHidden="0"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spacing w:beforeAutospacing="1" w:afterAutospacing="1"/>
      <w:jc w:val="left"/>
      <w:outlineLvl w:val="0"/>
    </w:pPr>
    <w:rPr>
      <w:rFonts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99"/>
    <w:pPr>
      <w:spacing w:before="42"/>
      <w:ind w:left="120"/>
    </w:pPr>
    <w:rPr>
      <w:rFonts w:ascii="仿宋" w:hAnsi="仿宋" w:eastAsia="仿宋" w:cs="仿宋"/>
      <w:sz w:val="28"/>
      <w:szCs w:val="28"/>
    </w:rPr>
  </w:style>
  <w:style w:type="paragraph" w:styleId="4">
    <w:name w:val="footer"/>
    <w:basedOn w:val="1"/>
    <w:link w:val="18"/>
    <w:unhideWhenUsed/>
    <w:qFormat/>
    <w:locked/>
    <w:uiPriority w:val="99"/>
    <w:pPr>
      <w:tabs>
        <w:tab w:val="center" w:pos="4153"/>
        <w:tab w:val="right" w:pos="8306"/>
      </w:tabs>
      <w:snapToGrid w:val="0"/>
      <w:jc w:val="left"/>
    </w:pPr>
    <w:rPr>
      <w:sz w:val="18"/>
      <w:szCs w:val="18"/>
    </w:rPr>
  </w:style>
  <w:style w:type="paragraph" w:styleId="5">
    <w:name w:val="header"/>
    <w:basedOn w:val="1"/>
    <w:link w:val="17"/>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styleId="10">
    <w:name w:val="FollowedHyperlink"/>
    <w:basedOn w:val="8"/>
    <w:unhideWhenUsed/>
    <w:qFormat/>
    <w:locked/>
    <w:uiPriority w:val="99"/>
    <w:rPr>
      <w:color w:val="393939"/>
      <w:u w:val="none"/>
    </w:rPr>
  </w:style>
  <w:style w:type="character" w:styleId="11">
    <w:name w:val="Emphasis"/>
    <w:basedOn w:val="8"/>
    <w:qFormat/>
    <w:locked/>
    <w:uiPriority w:val="20"/>
    <w:rPr>
      <w:i/>
    </w:rPr>
  </w:style>
  <w:style w:type="character" w:styleId="12">
    <w:name w:val="Hyperlink"/>
    <w:basedOn w:val="8"/>
    <w:qFormat/>
    <w:uiPriority w:val="99"/>
    <w:rPr>
      <w:rFonts w:cs="Times New Roman"/>
      <w:color w:val="0000FF"/>
      <w:u w:val="single"/>
    </w:rPr>
  </w:style>
  <w:style w:type="character" w:styleId="13">
    <w:name w:val="HTML Code"/>
    <w:basedOn w:val="8"/>
    <w:unhideWhenUsed/>
    <w:qFormat/>
    <w:locked/>
    <w:uiPriority w:val="99"/>
    <w:rPr>
      <w:rFonts w:ascii="Courier New" w:hAnsi="Courier New" w:eastAsia="Courier New" w:cs="Courier New"/>
      <w:color w:val="DD1144"/>
      <w:sz w:val="18"/>
      <w:szCs w:val="18"/>
      <w:bdr w:val="single" w:color="E1E1E8" w:sz="6" w:space="0"/>
      <w:shd w:val="clear" w:color="auto" w:fill="F7F7F9"/>
    </w:rPr>
  </w:style>
  <w:style w:type="character" w:styleId="14">
    <w:name w:val="HTML Cite"/>
    <w:basedOn w:val="8"/>
    <w:unhideWhenUsed/>
    <w:qFormat/>
    <w:locked/>
    <w:uiPriority w:val="99"/>
  </w:style>
  <w:style w:type="character" w:customStyle="1" w:styleId="15">
    <w:name w:val="标题 1 Char"/>
    <w:basedOn w:val="8"/>
    <w:link w:val="2"/>
    <w:qFormat/>
    <w:locked/>
    <w:uiPriority w:val="99"/>
    <w:rPr>
      <w:rFonts w:ascii="Calibri" w:hAnsi="Calibri" w:cs="Times New Roman"/>
      <w:b/>
      <w:bCs/>
      <w:kern w:val="44"/>
      <w:sz w:val="44"/>
      <w:szCs w:val="44"/>
    </w:rPr>
  </w:style>
  <w:style w:type="character" w:customStyle="1" w:styleId="16">
    <w:name w:val="正文文本 Char"/>
    <w:basedOn w:val="8"/>
    <w:link w:val="3"/>
    <w:semiHidden/>
    <w:qFormat/>
    <w:locked/>
    <w:uiPriority w:val="99"/>
    <w:rPr>
      <w:rFonts w:ascii="Calibri" w:hAnsi="Calibri" w:cs="Times New Roman"/>
      <w:sz w:val="24"/>
      <w:szCs w:val="24"/>
    </w:rPr>
  </w:style>
  <w:style w:type="character" w:customStyle="1" w:styleId="17">
    <w:name w:val="页眉 Char"/>
    <w:basedOn w:val="8"/>
    <w:link w:val="5"/>
    <w:semiHidden/>
    <w:qFormat/>
    <w:uiPriority w:val="99"/>
    <w:rPr>
      <w:rFonts w:ascii="Calibri" w:hAnsi="Calibri"/>
      <w:kern w:val="2"/>
      <w:sz w:val="18"/>
      <w:szCs w:val="18"/>
    </w:rPr>
  </w:style>
  <w:style w:type="character" w:customStyle="1" w:styleId="18">
    <w:name w:val="页脚 Char"/>
    <w:basedOn w:val="8"/>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2655</Words>
  <Characters>3272</Characters>
  <Lines>34</Lines>
  <Paragraphs>9</Paragraphs>
  <TotalTime>127</TotalTime>
  <ScaleCrop>false</ScaleCrop>
  <LinksUpToDate>false</LinksUpToDate>
  <CharactersWithSpaces>3334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2020-07-23T15:02:00Z</dcterms:created>
  <dc:creator>ningning</dc:creator>
  <cp:lastModifiedBy>可达鸭</cp:lastModifiedBy>
  <cp:lastPrinted>2019-06-30T14:34:00Z</cp:lastPrinted>
  <dcterms:modified xsi:type="dcterms:W3CDTF">2022-06-28T01:48:38Z</dcterms:modified>
  <dc:title>2018年招生简章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38F9C08469EA440AA0B0FD32BAD78A1B</vt:lpwstr>
  </property>
</Properties>
</file>