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cs="黑体"/>
          <w:sz w:val="44"/>
          <w:szCs w:val="44"/>
          <w:u w:val="none"/>
        </w:rPr>
      </w:pPr>
      <w:r>
        <w:rPr>
          <w:rFonts w:hint="eastAsia" w:ascii="宋体" w:hAnsi="宋体" w:eastAsia="宋体" w:cs="黑体"/>
          <w:b w:val="0"/>
          <w:bCs/>
          <w:sz w:val="28"/>
          <w:szCs w:val="28"/>
          <w:u w:val="none"/>
          <w:lang w:val="en-US" w:eastAsia="zh-CN"/>
        </w:rPr>
        <w:t>附表3：</w:t>
      </w:r>
      <w:r>
        <w:rPr>
          <w:rFonts w:hint="eastAsia" w:ascii="宋体" w:hAnsi="宋体" w:eastAsia="宋体" w:cs="黑体"/>
          <w:b/>
          <w:sz w:val="44"/>
          <w:szCs w:val="44"/>
          <w:u w:val="none"/>
          <w:lang w:val="en-US" w:eastAsia="zh-CN"/>
        </w:rPr>
        <w:t xml:space="preserve">         </w:t>
      </w:r>
      <w:r>
        <w:rPr>
          <w:rFonts w:hint="eastAsia" w:ascii="宋体" w:hAnsi="宋体" w:eastAsia="宋体" w:cs="黑体"/>
          <w:b/>
          <w:sz w:val="44"/>
          <w:szCs w:val="44"/>
          <w:u w:val="none"/>
        </w:rPr>
        <w:t>湖南财政经济学院实验室安全检查记录表</w:t>
      </w:r>
      <w:bookmarkStart w:id="0" w:name="_GoBack"/>
      <w:bookmarkEnd w:id="0"/>
    </w:p>
    <w:p>
      <w:pPr>
        <w:ind w:firstLine="900" w:firstLineChars="500"/>
        <w:rPr>
          <w:rFonts w:ascii="黑体" w:hAnsi="黑体" w:eastAsia="黑体" w:cs="黑体"/>
          <w:sz w:val="18"/>
          <w:szCs w:val="18"/>
        </w:rPr>
      </w:pPr>
    </w:p>
    <w:p>
      <w:pPr>
        <w:ind w:firstLine="557" w:firstLineChars="198"/>
        <w:jc w:val="left"/>
        <w:rPr>
          <w:rFonts w:ascii="宋体" w:hAnsi="宋体" w:eastAsia="宋体" w:cs="宋体"/>
          <w:b/>
          <w:bCs/>
          <w:sz w:val="28"/>
          <w:szCs w:val="28"/>
        </w:rPr>
      </w:pPr>
      <w:r>
        <w:rPr>
          <w:rFonts w:hint="eastAsia" w:ascii="宋体" w:hAnsi="宋体" w:eastAsia="宋体" w:cs="宋体"/>
          <w:b/>
          <w:bCs/>
          <w:sz w:val="28"/>
          <w:szCs w:val="28"/>
          <w:lang w:eastAsia="zh-CN"/>
        </w:rPr>
        <w:t>所属部门：</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检查人：</w:t>
      </w:r>
      <w:r>
        <w:rPr>
          <w:rFonts w:ascii="宋体" w:hAnsi="宋体" w:eastAsia="宋体" w:cs="宋体"/>
          <w:b/>
          <w:bCs/>
          <w:sz w:val="28"/>
          <w:szCs w:val="28"/>
        </w:rPr>
        <w:t xml:space="preserve">                                      </w:t>
      </w:r>
      <w:r>
        <w:rPr>
          <w:rFonts w:hint="eastAsia" w:ascii="宋体" w:hAnsi="宋体" w:eastAsia="宋体" w:cs="宋体"/>
          <w:b/>
          <w:bCs/>
          <w:sz w:val="28"/>
          <w:szCs w:val="28"/>
        </w:rPr>
        <w:t>检查时间：</w:t>
      </w:r>
    </w:p>
    <w:tbl>
      <w:tblPr>
        <w:tblStyle w:val="4"/>
        <w:tblpPr w:leftFromText="180" w:rightFromText="180" w:vertAnchor="page" w:horzAnchor="page" w:tblpX="1738" w:tblpY="3663"/>
        <w:tblOverlap w:val="never"/>
        <w:tblW w:w="14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3156"/>
        <w:gridCol w:w="6996"/>
        <w:gridCol w:w="3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258" w:type="dxa"/>
            <w:vAlign w:val="center"/>
          </w:tcPr>
          <w:p>
            <w:pPr>
              <w:jc w:val="center"/>
              <w:rPr>
                <w:rFonts w:ascii="仿宋" w:hAnsi="仿宋" w:eastAsia="仿宋" w:cs="宋体"/>
                <w:b/>
                <w:sz w:val="24"/>
              </w:rPr>
            </w:pPr>
            <w:r>
              <w:rPr>
                <w:rFonts w:hint="eastAsia" w:ascii="仿宋" w:hAnsi="仿宋" w:eastAsia="仿宋" w:cs="宋体"/>
                <w:b/>
                <w:sz w:val="24"/>
              </w:rPr>
              <w:t>序号</w:t>
            </w:r>
          </w:p>
        </w:tc>
        <w:tc>
          <w:tcPr>
            <w:tcW w:w="3156" w:type="dxa"/>
            <w:vAlign w:val="center"/>
          </w:tcPr>
          <w:p>
            <w:pPr>
              <w:jc w:val="center"/>
              <w:rPr>
                <w:rFonts w:ascii="仿宋" w:hAnsi="仿宋" w:eastAsia="仿宋" w:cs="宋体"/>
                <w:b/>
                <w:sz w:val="24"/>
              </w:rPr>
            </w:pPr>
            <w:r>
              <w:rPr>
                <w:rFonts w:hint="eastAsia" w:ascii="仿宋" w:hAnsi="仿宋" w:eastAsia="仿宋" w:cs="宋体"/>
                <w:b/>
                <w:sz w:val="24"/>
              </w:rPr>
              <w:t>检查项目</w:t>
            </w:r>
          </w:p>
        </w:tc>
        <w:tc>
          <w:tcPr>
            <w:tcW w:w="6996" w:type="dxa"/>
            <w:vAlign w:val="center"/>
          </w:tcPr>
          <w:p>
            <w:pPr>
              <w:jc w:val="center"/>
              <w:rPr>
                <w:rFonts w:ascii="仿宋" w:hAnsi="仿宋" w:eastAsia="仿宋" w:cs="宋体"/>
                <w:b/>
                <w:sz w:val="24"/>
              </w:rPr>
            </w:pPr>
            <w:r>
              <w:rPr>
                <w:rFonts w:hint="eastAsia" w:ascii="仿宋" w:hAnsi="仿宋" w:eastAsia="仿宋" w:cs="宋体"/>
                <w:b/>
                <w:sz w:val="24"/>
              </w:rPr>
              <w:t>检查要点</w:t>
            </w:r>
          </w:p>
        </w:tc>
        <w:tc>
          <w:tcPr>
            <w:tcW w:w="3347" w:type="dxa"/>
            <w:vAlign w:val="center"/>
          </w:tcPr>
          <w:p>
            <w:pPr>
              <w:jc w:val="center"/>
              <w:rPr>
                <w:rFonts w:ascii="仿宋" w:hAnsi="仿宋" w:eastAsia="仿宋" w:cs="宋体"/>
                <w:b/>
                <w:sz w:val="24"/>
              </w:rPr>
            </w:pPr>
            <w:r>
              <w:rPr>
                <w:rFonts w:hint="eastAsia" w:ascii="仿宋" w:hAnsi="仿宋" w:eastAsia="仿宋" w:cs="宋体"/>
                <w:b/>
                <w:sz w:val="24"/>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spacing w:line="360" w:lineRule="auto"/>
              <w:jc w:val="center"/>
              <w:rPr>
                <w:rFonts w:ascii="仿宋" w:hAnsi="仿宋" w:eastAsia="仿宋" w:cs="宋体"/>
                <w:sz w:val="24"/>
              </w:rPr>
            </w:pPr>
            <w:r>
              <w:rPr>
                <w:rFonts w:ascii="仿宋" w:hAnsi="仿宋" w:eastAsia="仿宋" w:cs="宋体"/>
                <w:sz w:val="24"/>
              </w:rPr>
              <w:t>1</w:t>
            </w:r>
          </w:p>
        </w:tc>
        <w:tc>
          <w:tcPr>
            <w:tcW w:w="3156" w:type="dxa"/>
            <w:vAlign w:val="center"/>
          </w:tcPr>
          <w:p>
            <w:pPr>
              <w:spacing w:line="360" w:lineRule="auto"/>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60" w:lineRule="auto"/>
              <w:rPr>
                <w:rFonts w:ascii="仿宋" w:hAnsi="仿宋" w:eastAsia="仿宋" w:cs="宋体"/>
                <w:sz w:val="24"/>
              </w:rPr>
            </w:pPr>
            <w:r>
              <w:rPr>
                <w:rFonts w:hint="eastAsia" w:ascii="仿宋" w:hAnsi="仿宋" w:eastAsia="仿宋" w:cs="宋体"/>
                <w:kern w:val="0"/>
                <w:sz w:val="24"/>
              </w:rPr>
              <w:t>实验室电容量、插头插座与用电设备功率需匹配，不得私自改装；电源插座须固定</w:t>
            </w:r>
          </w:p>
        </w:tc>
        <w:tc>
          <w:tcPr>
            <w:tcW w:w="3347" w:type="dxa"/>
            <w:vAlign w:val="center"/>
          </w:tcPr>
          <w:p>
            <w:pPr>
              <w:spacing w:line="360" w:lineRule="auto"/>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spacing w:line="360" w:lineRule="auto"/>
              <w:jc w:val="center"/>
              <w:rPr>
                <w:rFonts w:ascii="仿宋" w:hAnsi="仿宋" w:eastAsia="仿宋" w:cs="宋体"/>
                <w:sz w:val="24"/>
              </w:rPr>
            </w:pPr>
            <w:r>
              <w:rPr>
                <w:rFonts w:ascii="仿宋" w:hAnsi="仿宋" w:eastAsia="仿宋" w:cs="宋体"/>
                <w:sz w:val="24"/>
              </w:rPr>
              <w:t>2</w:t>
            </w:r>
          </w:p>
        </w:tc>
        <w:tc>
          <w:tcPr>
            <w:tcW w:w="3156" w:type="dxa"/>
            <w:vAlign w:val="center"/>
          </w:tcPr>
          <w:p>
            <w:pPr>
              <w:spacing w:line="360" w:lineRule="auto"/>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60" w:lineRule="auto"/>
              <w:rPr>
                <w:rFonts w:ascii="仿宋" w:hAnsi="仿宋" w:eastAsia="仿宋" w:cs="宋体"/>
                <w:sz w:val="24"/>
              </w:rPr>
            </w:pPr>
            <w:r>
              <w:rPr>
                <w:rFonts w:hint="eastAsia" w:ascii="仿宋" w:hAnsi="仿宋" w:eastAsia="仿宋" w:cs="宋体"/>
                <w:kern w:val="0"/>
                <w:sz w:val="24"/>
              </w:rPr>
              <w:t>实验室和电气设备应配备空气开关和漏电保护器，且应满足负荷和分断要求</w:t>
            </w:r>
          </w:p>
        </w:tc>
        <w:tc>
          <w:tcPr>
            <w:tcW w:w="3347" w:type="dxa"/>
            <w:vAlign w:val="center"/>
          </w:tcPr>
          <w:p>
            <w:pPr>
              <w:spacing w:line="360" w:lineRule="auto"/>
              <w:ind w:firstLine="1200" w:firstLineChars="500"/>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jc w:val="center"/>
              <w:rPr>
                <w:rFonts w:ascii="仿宋" w:hAnsi="仿宋" w:eastAsia="仿宋" w:cs="宋体"/>
                <w:sz w:val="24"/>
              </w:rPr>
            </w:pPr>
            <w:r>
              <w:rPr>
                <w:rFonts w:ascii="仿宋" w:hAnsi="仿宋" w:eastAsia="仿宋" w:cs="宋体"/>
                <w:sz w:val="24"/>
              </w:rPr>
              <w:t>3</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不私自乱拉乱接电线电缆，不使用老化的线缆、花线和木质配电板</w:t>
            </w:r>
          </w:p>
        </w:tc>
        <w:tc>
          <w:tcPr>
            <w:tcW w:w="3347" w:type="dxa"/>
            <w:vAlign w:val="center"/>
          </w:tcPr>
          <w:p>
            <w:pPr>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vAlign w:val="center"/>
          </w:tcPr>
          <w:p>
            <w:pPr>
              <w:jc w:val="center"/>
              <w:rPr>
                <w:rFonts w:ascii="仿宋" w:hAnsi="仿宋" w:eastAsia="仿宋" w:cs="宋体"/>
                <w:sz w:val="24"/>
              </w:rPr>
            </w:pPr>
            <w:r>
              <w:rPr>
                <w:rFonts w:ascii="仿宋" w:hAnsi="仿宋" w:eastAsia="仿宋" w:cs="宋体"/>
                <w:sz w:val="24"/>
              </w:rPr>
              <w:t>4</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禁止多个接线板串接供电，接线板不宜直接置于地面</w:t>
            </w:r>
          </w:p>
        </w:tc>
        <w:tc>
          <w:tcPr>
            <w:tcW w:w="3347" w:type="dxa"/>
            <w:vAlign w:val="center"/>
          </w:tcPr>
          <w:p>
            <w:pPr>
              <w:ind w:firstLine="720" w:firstLineChars="300"/>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258" w:type="dxa"/>
            <w:vAlign w:val="center"/>
          </w:tcPr>
          <w:p>
            <w:pPr>
              <w:jc w:val="center"/>
              <w:rPr>
                <w:rFonts w:ascii="仿宋" w:hAnsi="仿宋" w:eastAsia="仿宋" w:cs="宋体"/>
                <w:sz w:val="24"/>
              </w:rPr>
            </w:pPr>
            <w:r>
              <w:rPr>
                <w:rFonts w:ascii="仿宋" w:hAnsi="仿宋" w:eastAsia="仿宋" w:cs="宋体"/>
                <w:sz w:val="24"/>
              </w:rPr>
              <w:t>5</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无人监管状态下，应切断充电器（宝）的充电电源</w:t>
            </w:r>
          </w:p>
        </w:tc>
        <w:tc>
          <w:tcPr>
            <w:tcW w:w="3347" w:type="dxa"/>
            <w:vAlign w:val="center"/>
          </w:tcPr>
          <w:p>
            <w:pPr>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jc w:val="center"/>
              <w:rPr>
                <w:rFonts w:ascii="仿宋" w:hAnsi="仿宋" w:eastAsia="仿宋" w:cs="宋体"/>
                <w:sz w:val="24"/>
              </w:rPr>
            </w:pPr>
            <w:r>
              <w:rPr>
                <w:rFonts w:ascii="仿宋" w:hAnsi="仿宋" w:eastAsia="仿宋" w:cs="宋体"/>
                <w:sz w:val="24"/>
              </w:rPr>
              <w:t>6</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电源插座不宜安装在水槽边，若确有需要，应增设防护挡板或防护罩</w:t>
            </w:r>
          </w:p>
        </w:tc>
        <w:tc>
          <w:tcPr>
            <w:tcW w:w="3347" w:type="dxa"/>
            <w:vAlign w:val="center"/>
          </w:tcPr>
          <w:p>
            <w:pPr>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jc w:val="center"/>
              <w:rPr>
                <w:rFonts w:ascii="仿宋" w:hAnsi="仿宋" w:eastAsia="仿宋" w:cs="宋体"/>
                <w:sz w:val="24"/>
              </w:rPr>
            </w:pPr>
            <w:r>
              <w:rPr>
                <w:rFonts w:ascii="仿宋" w:hAnsi="仿宋" w:eastAsia="仿宋" w:cs="宋体"/>
                <w:sz w:val="24"/>
              </w:rPr>
              <w:t>7</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电线接头绝缘可靠，无裸露连接线，地面上的线缆应有盖板或护套</w:t>
            </w:r>
          </w:p>
        </w:tc>
        <w:tc>
          <w:tcPr>
            <w:tcW w:w="3347" w:type="dxa"/>
            <w:vAlign w:val="center"/>
          </w:tcPr>
          <w:p>
            <w:pPr>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jc w:val="center"/>
              <w:rPr>
                <w:rFonts w:ascii="仿宋" w:hAnsi="仿宋" w:eastAsia="仿宋" w:cs="宋体"/>
                <w:sz w:val="24"/>
              </w:rPr>
            </w:pPr>
            <w:r>
              <w:rPr>
                <w:rFonts w:ascii="仿宋" w:hAnsi="仿宋" w:eastAsia="仿宋" w:cs="宋体"/>
                <w:sz w:val="24"/>
              </w:rPr>
              <w:t>8</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配电柜</w:t>
            </w:r>
            <w:r>
              <w:rPr>
                <w:rFonts w:ascii="仿宋" w:hAnsi="仿宋" w:eastAsia="仿宋" w:cs="宋体"/>
                <w:kern w:val="0"/>
                <w:sz w:val="24"/>
              </w:rPr>
              <w:t>/</w:t>
            </w:r>
            <w:r>
              <w:rPr>
                <w:rFonts w:hint="eastAsia" w:ascii="仿宋" w:hAnsi="仿宋" w:eastAsia="仿宋" w:cs="宋体"/>
                <w:kern w:val="0"/>
                <w:sz w:val="24"/>
              </w:rPr>
              <w:t>箱无物品遮挡并便于操作；配电箱、开关、插座等周围无易燃易爆物品堆放</w:t>
            </w:r>
          </w:p>
        </w:tc>
        <w:tc>
          <w:tcPr>
            <w:tcW w:w="3347" w:type="dxa"/>
            <w:vAlign w:val="center"/>
          </w:tcPr>
          <w:p>
            <w:pPr>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vAlign w:val="center"/>
          </w:tcPr>
          <w:p>
            <w:pPr>
              <w:jc w:val="center"/>
              <w:rPr>
                <w:rFonts w:ascii="仿宋" w:hAnsi="仿宋" w:eastAsia="仿宋" w:cs="宋体"/>
                <w:sz w:val="24"/>
              </w:rPr>
            </w:pPr>
            <w:r>
              <w:rPr>
                <w:rFonts w:ascii="仿宋" w:hAnsi="仿宋" w:eastAsia="仿宋" w:cs="宋体"/>
                <w:sz w:val="24"/>
              </w:rPr>
              <w:t>9</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插座、插头、接线板为国家质量认证的合格产品，无烧焦变形、破损现象</w:t>
            </w:r>
          </w:p>
        </w:tc>
        <w:tc>
          <w:tcPr>
            <w:tcW w:w="3347" w:type="dxa"/>
            <w:vAlign w:val="center"/>
          </w:tcPr>
          <w:p>
            <w:pPr>
              <w:ind w:firstLine="720" w:firstLineChars="300"/>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258" w:type="dxa"/>
            <w:vAlign w:val="center"/>
          </w:tcPr>
          <w:p>
            <w:pPr>
              <w:jc w:val="center"/>
              <w:rPr>
                <w:rFonts w:ascii="仿宋" w:hAnsi="仿宋" w:eastAsia="仿宋" w:cs="宋体"/>
                <w:sz w:val="24"/>
              </w:rPr>
            </w:pPr>
            <w:r>
              <w:rPr>
                <w:rFonts w:ascii="仿宋" w:hAnsi="仿宋" w:eastAsia="仿宋" w:cs="宋体"/>
                <w:sz w:val="24"/>
              </w:rPr>
              <w:t>10</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易燃易爆气体等特殊实验室的电器线路和用电装置应按相关规定使用防爆电气线路和装置</w:t>
            </w:r>
          </w:p>
        </w:tc>
        <w:tc>
          <w:tcPr>
            <w:tcW w:w="3347" w:type="dxa"/>
            <w:vAlign w:val="center"/>
          </w:tcPr>
          <w:p>
            <w:pPr>
              <w:ind w:firstLine="720" w:firstLineChars="300"/>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258" w:type="dxa"/>
            <w:vAlign w:val="center"/>
          </w:tcPr>
          <w:p>
            <w:pPr>
              <w:jc w:val="center"/>
              <w:rPr>
                <w:rFonts w:ascii="仿宋" w:hAnsi="仿宋" w:eastAsia="仿宋" w:cs="宋体"/>
                <w:sz w:val="24"/>
              </w:rPr>
            </w:pPr>
            <w:r>
              <w:rPr>
                <w:rFonts w:ascii="仿宋" w:hAnsi="仿宋" w:eastAsia="仿宋" w:cs="宋体"/>
                <w:sz w:val="24"/>
              </w:rPr>
              <w:t>11</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易积水的实验场所，取消地面插座；积水时，地插须断电</w:t>
            </w:r>
          </w:p>
        </w:tc>
        <w:tc>
          <w:tcPr>
            <w:tcW w:w="3347" w:type="dxa"/>
            <w:vAlign w:val="center"/>
          </w:tcPr>
          <w:p>
            <w:pPr>
              <w:ind w:firstLine="720" w:firstLineChars="300"/>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258" w:type="dxa"/>
            <w:vAlign w:val="center"/>
          </w:tcPr>
          <w:p>
            <w:pPr>
              <w:jc w:val="center"/>
              <w:rPr>
                <w:rFonts w:ascii="仿宋" w:hAnsi="仿宋" w:eastAsia="仿宋" w:cs="宋体"/>
                <w:sz w:val="24"/>
              </w:rPr>
            </w:pPr>
            <w:r>
              <w:rPr>
                <w:rFonts w:ascii="仿宋" w:hAnsi="仿宋" w:eastAsia="仿宋" w:cs="宋体"/>
                <w:sz w:val="24"/>
              </w:rPr>
              <w:t>12</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实验室用电安全</w:t>
            </w:r>
          </w:p>
        </w:tc>
        <w:tc>
          <w:tcPr>
            <w:tcW w:w="6996" w:type="dxa"/>
            <w:vAlign w:val="center"/>
          </w:tcPr>
          <w:p>
            <w:pPr>
              <w:widowControl/>
              <w:spacing w:line="300" w:lineRule="exact"/>
              <w:rPr>
                <w:rFonts w:ascii="仿宋" w:hAnsi="仿宋" w:eastAsia="仿宋" w:cs="宋体"/>
                <w:sz w:val="24"/>
              </w:rPr>
            </w:pPr>
            <w:r>
              <w:rPr>
                <w:rFonts w:hint="eastAsia" w:ascii="仿宋" w:hAnsi="仿宋" w:eastAsia="仿宋" w:cs="宋体"/>
                <w:kern w:val="0"/>
                <w:sz w:val="24"/>
              </w:rPr>
              <w:t>实验结束，切断电源</w:t>
            </w:r>
          </w:p>
        </w:tc>
        <w:tc>
          <w:tcPr>
            <w:tcW w:w="3347" w:type="dxa"/>
            <w:vAlign w:val="center"/>
          </w:tcPr>
          <w:p>
            <w:pPr>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258" w:type="dxa"/>
            <w:vAlign w:val="center"/>
          </w:tcPr>
          <w:p>
            <w:pPr>
              <w:jc w:val="center"/>
              <w:rPr>
                <w:rFonts w:ascii="仿宋" w:hAnsi="仿宋" w:eastAsia="仿宋" w:cs="宋体"/>
                <w:sz w:val="24"/>
              </w:rPr>
            </w:pPr>
            <w:r>
              <w:rPr>
                <w:rFonts w:ascii="仿宋" w:hAnsi="仿宋" w:eastAsia="仿宋" w:cs="宋体"/>
                <w:sz w:val="24"/>
              </w:rPr>
              <w:t>13</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rPr>
              <w:t>实验室房间号编号规则有序，屋顶天花板</w:t>
            </w:r>
            <w:r>
              <w:rPr>
                <w:rFonts w:hint="eastAsia" w:ascii="仿宋" w:hAnsi="仿宋" w:eastAsia="仿宋" w:cs="宋体"/>
                <w:sz w:val="24"/>
                <w:lang w:eastAsia="zh-CN"/>
              </w:rPr>
              <w:t>、门窗</w:t>
            </w:r>
            <w:r>
              <w:rPr>
                <w:rFonts w:hint="eastAsia" w:ascii="仿宋" w:hAnsi="仿宋" w:eastAsia="仿宋" w:cs="宋体"/>
                <w:sz w:val="24"/>
              </w:rPr>
              <w:t>安全固定、地面平整，无破损情况</w:t>
            </w:r>
          </w:p>
        </w:tc>
        <w:tc>
          <w:tcPr>
            <w:tcW w:w="3347" w:type="dxa"/>
            <w:vAlign w:val="center"/>
          </w:tcPr>
          <w:p>
            <w:pPr>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258" w:type="dxa"/>
            <w:vAlign w:val="center"/>
          </w:tcPr>
          <w:p>
            <w:pPr>
              <w:jc w:val="center"/>
              <w:rPr>
                <w:rFonts w:ascii="仿宋" w:hAnsi="仿宋" w:eastAsia="仿宋" w:cs="宋体"/>
                <w:sz w:val="24"/>
              </w:rPr>
            </w:pPr>
            <w:r>
              <w:rPr>
                <w:rFonts w:ascii="仿宋" w:hAnsi="仿宋" w:eastAsia="仿宋" w:cs="宋体"/>
                <w:sz w:val="24"/>
              </w:rPr>
              <w:t>14</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rPr>
              <w:t>实验室内不放无关物品，如电动车、自行车等</w:t>
            </w:r>
          </w:p>
        </w:tc>
        <w:tc>
          <w:tcPr>
            <w:tcW w:w="3347" w:type="dxa"/>
            <w:vAlign w:val="center"/>
          </w:tcPr>
          <w:p>
            <w:pPr>
              <w:ind w:firstLine="720" w:firstLineChars="300"/>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258" w:type="dxa"/>
            <w:vAlign w:val="center"/>
          </w:tcPr>
          <w:p>
            <w:pPr>
              <w:jc w:val="center"/>
              <w:rPr>
                <w:rFonts w:ascii="仿宋" w:hAnsi="仿宋" w:eastAsia="仿宋" w:cs="宋体"/>
                <w:sz w:val="24"/>
              </w:rPr>
            </w:pPr>
            <w:r>
              <w:rPr>
                <w:rFonts w:ascii="仿宋" w:hAnsi="仿宋" w:eastAsia="仿宋" w:cs="宋体"/>
                <w:sz w:val="24"/>
              </w:rPr>
              <w:t>15</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rPr>
              <w:t>实验室内不存放或烧煮食物、饮食，无吸烟现象</w:t>
            </w:r>
          </w:p>
        </w:tc>
        <w:tc>
          <w:tcPr>
            <w:tcW w:w="3347" w:type="dxa"/>
            <w:vAlign w:val="center"/>
          </w:tcPr>
          <w:p>
            <w:pPr>
              <w:ind w:firstLine="720" w:firstLineChars="300"/>
              <w:jc w:val="center"/>
              <w:rPr>
                <w:rFonts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258" w:type="dxa"/>
            <w:vAlign w:val="center"/>
          </w:tcPr>
          <w:p>
            <w:pPr>
              <w:jc w:val="center"/>
              <w:rPr>
                <w:rFonts w:ascii="仿宋" w:hAnsi="仿宋" w:eastAsia="仿宋" w:cs="宋体"/>
                <w:sz w:val="24"/>
              </w:rPr>
            </w:pPr>
            <w:r>
              <w:rPr>
                <w:rFonts w:ascii="仿宋" w:hAnsi="仿宋" w:eastAsia="仿宋" w:cs="宋体"/>
                <w:sz w:val="24"/>
              </w:rPr>
              <w:t>16</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lang w:eastAsia="zh-CN"/>
              </w:rPr>
              <w:t>实验室灭火器分配、堆放合理合规，不存在过期及无法使用现象</w:t>
            </w:r>
          </w:p>
        </w:tc>
        <w:tc>
          <w:tcPr>
            <w:tcW w:w="3347" w:type="dxa"/>
            <w:vAlign w:val="center"/>
          </w:tcPr>
          <w:p>
            <w:pPr>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ascii="仿宋" w:hAnsi="仿宋" w:eastAsia="仿宋" w:cs="宋体"/>
                <w:sz w:val="24"/>
              </w:rPr>
            </w:pPr>
            <w:r>
              <w:rPr>
                <w:rFonts w:ascii="仿宋" w:hAnsi="仿宋" w:eastAsia="仿宋" w:cs="宋体"/>
                <w:sz w:val="24"/>
              </w:rPr>
              <w:t>17</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kern w:val="0"/>
                <w:sz w:val="24"/>
              </w:rPr>
              <w:t>实验记录规范、清晰</w:t>
            </w:r>
          </w:p>
        </w:tc>
        <w:tc>
          <w:tcPr>
            <w:tcW w:w="3347" w:type="dxa"/>
            <w:vAlign w:val="center"/>
          </w:tcPr>
          <w:p>
            <w:pPr>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258" w:type="dxa"/>
            <w:vAlign w:val="center"/>
          </w:tcPr>
          <w:p>
            <w:pPr>
              <w:jc w:val="center"/>
              <w:rPr>
                <w:rFonts w:ascii="仿宋" w:hAnsi="仿宋" w:eastAsia="仿宋" w:cs="宋体"/>
                <w:sz w:val="24"/>
              </w:rPr>
            </w:pPr>
            <w:r>
              <w:rPr>
                <w:rFonts w:ascii="仿宋" w:hAnsi="仿宋" w:eastAsia="仿宋" w:cs="宋体"/>
                <w:sz w:val="24"/>
              </w:rPr>
              <w:t>18</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spacing w:line="300" w:lineRule="exact"/>
              <w:rPr>
                <w:rFonts w:ascii="仿宋" w:hAnsi="仿宋" w:eastAsia="仿宋" w:cs="宋体"/>
                <w:sz w:val="24"/>
              </w:rPr>
            </w:pPr>
            <w:r>
              <w:rPr>
                <w:rFonts w:hint="eastAsia" w:ascii="仿宋" w:hAnsi="仿宋" w:eastAsia="仿宋" w:cs="宋体"/>
                <w:sz w:val="24"/>
              </w:rPr>
              <w:t>实验室物品摆放有序，卫生状况良好；实验完毕物品归位</w:t>
            </w:r>
          </w:p>
        </w:tc>
        <w:tc>
          <w:tcPr>
            <w:tcW w:w="3347" w:type="dxa"/>
            <w:vAlign w:val="center"/>
          </w:tcPr>
          <w:p>
            <w:pPr>
              <w:ind w:firstLine="1200" w:firstLineChars="500"/>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1258" w:type="dxa"/>
            <w:vAlign w:val="center"/>
          </w:tcPr>
          <w:p>
            <w:pPr>
              <w:jc w:val="center"/>
              <w:rPr>
                <w:rFonts w:ascii="仿宋" w:hAnsi="仿宋" w:eastAsia="仿宋" w:cs="宋体"/>
                <w:sz w:val="24"/>
              </w:rPr>
            </w:pPr>
            <w:r>
              <w:rPr>
                <w:rFonts w:ascii="仿宋" w:hAnsi="仿宋" w:eastAsia="仿宋" w:cs="宋体"/>
                <w:sz w:val="24"/>
              </w:rPr>
              <w:t>19</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spacing w:line="300" w:lineRule="exact"/>
              <w:rPr>
                <w:rFonts w:ascii="仿宋" w:hAnsi="仿宋" w:eastAsia="仿宋" w:cs="宋体"/>
                <w:sz w:val="24"/>
              </w:rPr>
            </w:pPr>
            <w:r>
              <w:rPr>
                <w:rFonts w:hint="eastAsia" w:ascii="仿宋" w:hAnsi="仿宋" w:eastAsia="仿宋" w:cs="宋体"/>
                <w:sz w:val="24"/>
                <w:lang w:eastAsia="zh-CN"/>
              </w:rPr>
              <w:t>实验室不</w:t>
            </w:r>
            <w:r>
              <w:rPr>
                <w:rFonts w:hint="eastAsia" w:ascii="仿宋" w:hAnsi="仿宋" w:eastAsia="仿宋" w:cs="宋体"/>
                <w:sz w:val="24"/>
              </w:rPr>
              <w:t>存在门开着而无人</w:t>
            </w:r>
            <w:r>
              <w:rPr>
                <w:rFonts w:hint="eastAsia" w:ascii="仿宋" w:hAnsi="仿宋" w:eastAsia="仿宋" w:cs="宋体"/>
                <w:sz w:val="24"/>
                <w:lang w:eastAsia="zh-CN"/>
              </w:rPr>
              <w:t>监管</w:t>
            </w:r>
            <w:r>
              <w:rPr>
                <w:rFonts w:hint="eastAsia" w:ascii="仿宋" w:hAnsi="仿宋" w:eastAsia="仿宋" w:cs="宋体"/>
                <w:sz w:val="24"/>
              </w:rPr>
              <w:t>的现象</w:t>
            </w:r>
          </w:p>
        </w:tc>
        <w:tc>
          <w:tcPr>
            <w:tcW w:w="3347" w:type="dxa"/>
            <w:vAlign w:val="center"/>
          </w:tcPr>
          <w:p>
            <w:pPr>
              <w:ind w:firstLine="480" w:firstLineChars="200"/>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258" w:type="dxa"/>
            <w:vAlign w:val="center"/>
          </w:tcPr>
          <w:p>
            <w:pPr>
              <w:jc w:val="center"/>
              <w:rPr>
                <w:rFonts w:ascii="仿宋" w:hAnsi="仿宋" w:eastAsia="仿宋" w:cs="宋体"/>
                <w:sz w:val="24"/>
              </w:rPr>
            </w:pPr>
            <w:r>
              <w:rPr>
                <w:rFonts w:ascii="仿宋" w:hAnsi="仿宋" w:eastAsia="仿宋" w:cs="宋体"/>
                <w:sz w:val="24"/>
              </w:rPr>
              <w:t>20</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rPr>
              <w:t>实验室应张贴针对安全风险点的警示标识</w:t>
            </w:r>
          </w:p>
        </w:tc>
        <w:tc>
          <w:tcPr>
            <w:tcW w:w="3347" w:type="dxa"/>
            <w:vAlign w:val="center"/>
          </w:tcPr>
          <w:p>
            <w:pPr>
              <w:ind w:firstLine="1200" w:firstLineChars="500"/>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ascii="仿宋" w:hAnsi="仿宋" w:eastAsia="仿宋" w:cs="宋体"/>
                <w:sz w:val="24"/>
              </w:rPr>
            </w:pPr>
            <w:r>
              <w:rPr>
                <w:rFonts w:ascii="仿宋" w:hAnsi="仿宋" w:eastAsia="仿宋" w:cs="宋体"/>
                <w:sz w:val="24"/>
              </w:rPr>
              <w:t>21</w:t>
            </w:r>
          </w:p>
        </w:tc>
        <w:tc>
          <w:tcPr>
            <w:tcW w:w="3156" w:type="dxa"/>
            <w:vAlign w:val="center"/>
          </w:tcPr>
          <w:p>
            <w:pPr>
              <w:jc w:val="center"/>
              <w:rPr>
                <w:rFonts w:ascii="仿宋" w:hAnsi="仿宋" w:eastAsia="仿宋" w:cs="宋体"/>
                <w:sz w:val="24"/>
              </w:rPr>
            </w:pPr>
            <w:r>
              <w:rPr>
                <w:rFonts w:hint="eastAsia" w:ascii="仿宋" w:hAnsi="仿宋" w:eastAsia="仿宋" w:cs="宋体"/>
                <w:sz w:val="24"/>
              </w:rPr>
              <w:t>实验室场所安全及其他</w:t>
            </w:r>
          </w:p>
        </w:tc>
        <w:tc>
          <w:tcPr>
            <w:tcW w:w="6996" w:type="dxa"/>
            <w:vAlign w:val="center"/>
          </w:tcPr>
          <w:p>
            <w:pPr>
              <w:rPr>
                <w:rFonts w:ascii="仿宋" w:hAnsi="仿宋" w:eastAsia="仿宋" w:cs="宋体"/>
                <w:sz w:val="24"/>
              </w:rPr>
            </w:pPr>
            <w:r>
              <w:rPr>
                <w:rFonts w:hint="eastAsia" w:ascii="仿宋" w:hAnsi="仿宋" w:eastAsia="仿宋" w:cs="宋体"/>
                <w:sz w:val="24"/>
              </w:rPr>
              <w:t>实验室消防通道通畅，公共场所、通道不堆放仪器、物品</w:t>
            </w:r>
          </w:p>
        </w:tc>
        <w:tc>
          <w:tcPr>
            <w:tcW w:w="3347" w:type="dxa"/>
            <w:vAlign w:val="center"/>
          </w:tcPr>
          <w:p>
            <w:pPr>
              <w:jc w:val="center"/>
              <w:rPr>
                <w:rFonts w:ascii="仿宋" w:hAnsi="仿宋" w:eastAsia="仿宋" w:cs="宋体"/>
                <w:sz w:val="24"/>
              </w:rPr>
            </w:pPr>
            <w:r>
              <w:rPr>
                <w:rFonts w:ascii="仿宋" w:hAnsi="仿宋" w:eastAsia="仿宋"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258" w:type="dxa"/>
            <w:vAlign w:val="center"/>
          </w:tcPr>
          <w:p>
            <w:pPr>
              <w:jc w:val="center"/>
              <w:rPr>
                <w:rFonts w:ascii="仿宋" w:hAnsi="仿宋" w:eastAsia="仿宋" w:cs="宋体"/>
                <w:sz w:val="24"/>
              </w:rPr>
            </w:pPr>
            <w:r>
              <w:rPr>
                <w:rFonts w:ascii="仿宋" w:hAnsi="仿宋" w:eastAsia="仿宋" w:cs="宋体"/>
                <w:sz w:val="24"/>
              </w:rPr>
              <w:t>22</w:t>
            </w:r>
          </w:p>
        </w:tc>
        <w:tc>
          <w:tcPr>
            <w:tcW w:w="3156" w:type="dxa"/>
            <w:vAlign w:val="center"/>
          </w:tcPr>
          <w:p>
            <w:pPr>
              <w:jc w:val="center"/>
              <w:rPr>
                <w:rFonts w:hint="eastAsia" w:ascii="仿宋" w:hAnsi="仿宋" w:eastAsia="仿宋" w:cs="宋体"/>
                <w:sz w:val="24"/>
                <w:lang w:eastAsia="zh-CN"/>
              </w:rPr>
            </w:pPr>
            <w:r>
              <w:rPr>
                <w:rFonts w:hint="eastAsia" w:ascii="仿宋" w:hAnsi="仿宋" w:eastAsia="仿宋" w:cs="宋体"/>
                <w:sz w:val="24"/>
              </w:rPr>
              <w:t>其他</w:t>
            </w:r>
            <w:r>
              <w:rPr>
                <w:rFonts w:hint="eastAsia" w:ascii="仿宋" w:hAnsi="仿宋" w:eastAsia="仿宋" w:cs="宋体"/>
                <w:sz w:val="24"/>
                <w:lang w:eastAsia="zh-CN"/>
              </w:rPr>
              <w:t>情况</w:t>
            </w:r>
          </w:p>
        </w:tc>
        <w:tc>
          <w:tcPr>
            <w:tcW w:w="10343" w:type="dxa"/>
            <w:gridSpan w:val="2"/>
            <w:vAlign w:val="center"/>
          </w:tcPr>
          <w:p>
            <w:pPr>
              <w:jc w:val="left"/>
              <w:rPr>
                <w:rFonts w:hint="eastAsia" w:ascii="仿宋" w:hAnsi="仿宋" w:eastAsia="仿宋" w:cs="宋体"/>
                <w:sz w:val="24"/>
                <w:lang w:eastAsia="zh-CN"/>
              </w:rPr>
            </w:pPr>
          </w:p>
        </w:tc>
      </w:tr>
    </w:tbl>
    <w:p>
      <w:pPr>
        <w:ind w:left="479" w:leftChars="228" w:firstLine="0" w:firstLineChars="0"/>
        <w:rPr>
          <w:rFonts w:hint="eastAsia" w:eastAsia="仿宋"/>
          <w:lang w:eastAsia="zh-CN"/>
        </w:rPr>
      </w:pPr>
      <w:r>
        <w:rPr>
          <w:rFonts w:hint="eastAsia" w:ascii="仿宋" w:hAnsi="仿宋" w:eastAsia="仿宋" w:cs="宋体"/>
          <w:b/>
          <w:sz w:val="24"/>
        </w:rPr>
        <w:t>检查结果请填写：符合</w:t>
      </w:r>
      <w:r>
        <w:rPr>
          <w:rFonts w:ascii="仿宋" w:hAnsi="仿宋" w:eastAsia="仿宋" w:cs="宋体"/>
          <w:b/>
          <w:sz w:val="24"/>
        </w:rPr>
        <w:t>/</w:t>
      </w:r>
      <w:r>
        <w:rPr>
          <w:rFonts w:hint="eastAsia" w:ascii="仿宋" w:hAnsi="仿宋" w:eastAsia="仿宋" w:cs="宋体"/>
          <w:b/>
          <w:sz w:val="24"/>
        </w:rPr>
        <w:t>不符合</w:t>
      </w:r>
      <w:r>
        <w:rPr>
          <w:rFonts w:ascii="仿宋" w:hAnsi="仿宋" w:eastAsia="仿宋" w:cs="宋体"/>
          <w:b/>
          <w:sz w:val="24"/>
        </w:rPr>
        <w:t>/</w:t>
      </w:r>
      <w:r>
        <w:rPr>
          <w:rFonts w:hint="eastAsia" w:ascii="仿宋" w:hAnsi="仿宋" w:eastAsia="仿宋" w:cs="宋体"/>
          <w:b/>
          <w:sz w:val="24"/>
        </w:rPr>
        <w:t>未发现违规现象</w:t>
      </w:r>
      <w:r>
        <w:rPr>
          <w:rFonts w:ascii="仿宋" w:hAnsi="仿宋" w:eastAsia="仿宋" w:cs="宋体"/>
          <w:b/>
          <w:sz w:val="24"/>
        </w:rPr>
        <w:t>/</w:t>
      </w:r>
      <w:r>
        <w:rPr>
          <w:rFonts w:hint="eastAsia" w:ascii="仿宋" w:hAnsi="仿宋" w:eastAsia="仿宋" w:cs="宋体"/>
          <w:b/>
          <w:sz w:val="24"/>
        </w:rPr>
        <w:t>存在违规现象，有不符合及存在违规现象的情况请在检查结果中填写整改情况及</w:t>
      </w:r>
      <w:r>
        <w:rPr>
          <w:rFonts w:hint="eastAsia" w:ascii="仿宋" w:hAnsi="仿宋" w:eastAsia="仿宋" w:cs="宋体"/>
          <w:b/>
          <w:sz w:val="24"/>
          <w:lang w:eastAsia="zh-CN"/>
        </w:rPr>
        <w:t>整改时间。</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C7276"/>
    <w:rsid w:val="01593F74"/>
    <w:rsid w:val="1C4B1C97"/>
    <w:rsid w:val="1DE51CD6"/>
    <w:rsid w:val="2D8B5AD1"/>
    <w:rsid w:val="34CC2C35"/>
    <w:rsid w:val="3E1904AB"/>
    <w:rsid w:val="4B5A0080"/>
    <w:rsid w:val="4CC82D69"/>
    <w:rsid w:val="50730F0F"/>
    <w:rsid w:val="513047D8"/>
    <w:rsid w:val="560E0EDD"/>
    <w:rsid w:val="56C81D02"/>
    <w:rsid w:val="5C2C7276"/>
    <w:rsid w:val="626D303A"/>
    <w:rsid w:val="62CD01C4"/>
    <w:rsid w:val="74DF00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2019-06-27T02:53:00Z</dcterms:created>
  <dc:creator>Administrator</dc:creator>
  <cp:lastModifiedBy>Administrator</cp:lastModifiedBy>
  <cp:lastPrinted>2019-06-27T03:14:00Z</cp:lastPrinted>
  <dcterms:modified xsi:type="dcterms:W3CDTF">2019-06-27T09:35:44Z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